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8.jpg" ContentType="image/jpeg"/>
  <Override PartName="/word/media/rId36.jpg" ContentType="image/jpeg"/>
  <Override PartName="/word/media/rId41.jpg" ContentType="image/jpeg"/>
  <Override PartName="/word/media/rId66.jpg" ContentType="image/jpeg"/>
  <Override PartName="/word/media/rId52.jpg" ContentType="image/jpeg"/>
  <Override PartName="/word/media/rId47.jpg" ContentType="image/jpeg"/>
  <Override PartName="/word/media/rId62.jpg" ContentType="image/jpeg"/>
  <Override PartName="/word/media/rId76.jpg" ContentType="image/jpeg"/>
  <Override PartName="/word/media/rId72.jpg" ContentType="image/jpeg"/>
  <Override PartName="/word/media/rId80.jpg" ContentType="image/jpeg"/>
  <Override PartName="/word/media/rId31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Adaptive Introgression Shapes the Pan-genome of Populus Hybrid Zones</w:t>
      </w:r>
    </w:p>
    <w:p>
      <w:pPr>
        <w:pStyle w:val="Author"/>
      </w:pPr>
      <w:r>
        <w:t xml:space="preserve">Baxter Worthing</w:t>
      </w:r>
    </w:p>
    <w:p>
      <w:pPr>
        <w:pStyle w:val="AbstractTitle"/>
      </w:pPr>
      <w:r>
        <w:t xml:space="preserve">Abstract</w:t>
      </w:r>
    </w:p>
    <w:p>
      <w:pPr>
        <w:pStyle w:val="Abstract"/>
      </w:pPr>
      <w:r>
        <w:t xml:space="preserve">Poplar trees…</w:t>
      </w:r>
    </w:p>
    <w:bookmarkStart w:id="20" w:name="introduction"/>
    <w:p>
      <w:pPr>
        <w:pStyle w:val="Heading2"/>
      </w:pPr>
      <w:r>
        <w:t xml:space="preserve">0.1 Introduction</w:t>
      </w:r>
    </w:p>
    <w:p>
      <w:pPr>
        <w:pStyle w:val="FirstParagraph"/>
      </w:pPr>
      <w:r>
        <w:t xml:space="preserve">Hybridization can lead to the exchange of genetic variation across</w:t>
      </w:r>
      <w:r>
        <w:t xml:space="preserve"> </w:t>
      </w:r>
      <w:r>
        <w:t xml:space="preserve">species boundaries, a process known as introgression. Introgression is a</w:t>
      </w:r>
      <w:r>
        <w:t xml:space="preserve"> </w:t>
      </w:r>
      <w:r>
        <w:t xml:space="preserve">powerful source of genetic novelty, playing a significant role in the</w:t>
      </w:r>
      <w:r>
        <w:t xml:space="preserve"> </w:t>
      </w:r>
      <w:r>
        <w:t xml:space="preserve">evolutionary history of natural systems</w:t>
      </w:r>
      <w:r>
        <w:t xml:space="preserve"> </w:t>
      </w:r>
      <w:r>
        <w:t xml:space="preserve">(Hedrick 2013; Suarez-Gonzalez, Lexer, and Cronk 2018)</w:t>
      </w:r>
      <w:r>
        <w:t xml:space="preserve">, humans</w:t>
      </w:r>
      <w:r>
        <w:t xml:space="preserve"> </w:t>
      </w:r>
      <w:r>
        <w:t xml:space="preserve">(Racimo et al. 2015)</w:t>
      </w:r>
      <w:r>
        <w:t xml:space="preserve"> </w:t>
      </w:r>
      <w:r>
        <w:t xml:space="preserve">and key crop</w:t>
      </w:r>
      <w:r>
        <w:t xml:space="preserve"> </w:t>
      </w:r>
      <w:r>
        <w:t xml:space="preserve">varietals</w:t>
      </w:r>
      <w:r>
        <w:t xml:space="preserve"> </w:t>
      </w:r>
      <w:r>
        <w:t xml:space="preserve">(Burgarella et al. 2019; Gao et al. 2019; Kou et al. 2020; Cheng et al. 2019; Sun et al. 2020; Qiao et al. 2021; Zanini et al. 2022)</w:t>
      </w:r>
      <w:r>
        <w:t xml:space="preserve">. Admixed individuals, the</w:t>
      </w:r>
      <w:r>
        <w:t xml:space="preserve"> </w:t>
      </w:r>
      <w:r>
        <w:t xml:space="preserve">recipients of introgressed sequence, harbor novel combinations of</w:t>
      </w:r>
      <w:r>
        <w:t xml:space="preserve"> </w:t>
      </w:r>
      <w:r>
        <w:t xml:space="preserve">alleles originating from both parental species, and may present</w:t>
      </w:r>
      <w:r>
        <w:t xml:space="preserve"> </w:t>
      </w:r>
      <w:r>
        <w:t xml:space="preserve">phenotypic variation which transcends that observed in the parental</w:t>
      </w:r>
      <w:r>
        <w:t xml:space="preserve"> </w:t>
      </w:r>
      <w:r>
        <w:t xml:space="preserve">species. In this sense, admixed individuals represent unique</w:t>
      </w:r>
      <w:r>
        <w:t xml:space="preserve"> </w:t>
      </w:r>
      <w:r>
        <w:t xml:space="preserve">opportunities, not only to better understand the genetic basis of</w:t>
      </w:r>
      <w:r>
        <w:t xml:space="preserve"> </w:t>
      </w:r>
      <w:r>
        <w:t xml:space="preserve">phenotype, but also to better understand the nature of molecular</w:t>
      </w:r>
      <w:r>
        <w:t xml:space="preserve"> </w:t>
      </w:r>
      <w:r>
        <w:t xml:space="preserve">interactions between divergent haplotypes. Furthermore, when parental</w:t>
      </w:r>
      <w:r>
        <w:t xml:space="preserve"> </w:t>
      </w:r>
      <w:r>
        <w:t xml:space="preserve">species inhabit differing environments, patterns of introgression may</w:t>
      </w:r>
      <w:r>
        <w:t xml:space="preserve"> </w:t>
      </w:r>
      <w:r>
        <w:t xml:space="preserve">also reflect the interaction between genetic variation and environment.</w:t>
      </w:r>
      <w:r>
        <w:t xml:space="preserve"> </w:t>
      </w:r>
      <w:r>
        <w:t xml:space="preserve">Ultimately, these GxG and GxE interactions define the contexts in which</w:t>
      </w:r>
      <w:r>
        <w:t xml:space="preserve"> </w:t>
      </w:r>
      <w:r>
        <w:t xml:space="preserve">introgression is adaptive. Past research on natural admixed populations</w:t>
      </w:r>
      <w:r>
        <w:t xml:space="preserve"> </w:t>
      </w:r>
      <w:r>
        <w:t xml:space="preserve">suggests that introgression can be an adaptive process, through which</w:t>
      </w:r>
      <w:r>
        <w:t xml:space="preserve"> </w:t>
      </w:r>
      <w:r>
        <w:t xml:space="preserve">genetic variation related to locally-adaptive phenotypes is passed from</w:t>
      </w:r>
      <w:r>
        <w:t xml:space="preserve"> </w:t>
      </w:r>
      <w:r>
        <w:t xml:space="preserve">one species to another</w:t>
      </w:r>
      <w:r>
        <w:t xml:space="preserve"> </w:t>
      </w:r>
      <w:r>
        <w:t xml:space="preserve">(Hedrick 2013; Suarez-Gonzalez, Lexer, and Cronk 2018; Leroy et al. 2020; Rendón-Anaya et al. 2021; Hamilton and Miller 2016; Savolainen, Pyhäjärvi, and Knürr 2007; Kremer and Hipp 2020; Gaczorek et al. 2024)</w:t>
      </w:r>
      <w:r>
        <w:t xml:space="preserve">. Closer</w:t>
      </w:r>
      <w:r>
        <w:t xml:space="preserve"> </w:t>
      </w:r>
      <w:r>
        <w:t xml:space="preserve">and more extensive analysis of natural manifestations of adaptive</w:t>
      </w:r>
      <w:r>
        <w:t xml:space="preserve"> </w:t>
      </w:r>
      <w:r>
        <w:t xml:space="preserve">introgression can reveal the types of genetic variation that are able to</w:t>
      </w:r>
      <w:r>
        <w:t xml:space="preserve"> </w:t>
      </w:r>
      <w:r>
        <w:t xml:space="preserve">cross species boundaries without a fitness consequence, the regions of</w:t>
      </w:r>
      <w:r>
        <w:t xml:space="preserve"> </w:t>
      </w:r>
      <w:r>
        <w:t xml:space="preserve">the genome that are receptive to the introduction of foreign sequence,</w:t>
      </w:r>
      <w:r>
        <w:t xml:space="preserve"> </w:t>
      </w:r>
      <w:r>
        <w:t xml:space="preserve">and the degree to which environmental context influences the adaptive</w:t>
      </w:r>
      <w:r>
        <w:t xml:space="preserve"> </w:t>
      </w:r>
      <w:r>
        <w:t xml:space="preserve">nature of introgression. Research in this area is valuable not only</w:t>
      </w:r>
      <w:r>
        <w:t xml:space="preserve"> </w:t>
      </w:r>
      <w:r>
        <w:t xml:space="preserve">because it sheds light on important questions in evolutionary biology,</w:t>
      </w:r>
      <w:r>
        <w:t xml:space="preserve"> </w:t>
      </w:r>
      <w:r>
        <w:t xml:space="preserve">such as the evolution of species boundaries and molecular basis of</w:t>
      </w:r>
      <w:r>
        <w:t xml:space="preserve"> </w:t>
      </w:r>
      <w:r>
        <w:t xml:space="preserve">adaptive traits, but also because it gauges the overall potential for</w:t>
      </w:r>
      <w:r>
        <w:t xml:space="preserve"> </w:t>
      </w:r>
      <w:r>
        <w:t xml:space="preserve">the introduction of divergent genetic variation into novel genetic and</w:t>
      </w:r>
      <w:r>
        <w:t xml:space="preserve"> </w:t>
      </w:r>
      <w:r>
        <w:t xml:space="preserve">environmental background. Therefore, research in this area has great</w:t>
      </w:r>
      <w:r>
        <w:t xml:space="preserve"> </w:t>
      </w:r>
      <w:r>
        <w:t xml:space="preserve">potential for broader impact for two main reasons. First, because the</w:t>
      </w:r>
      <w:r>
        <w:t xml:space="preserve"> </w:t>
      </w:r>
      <w:r>
        <w:t xml:space="preserve">contribution of biotechnology to advances in the fields of medicine and</w:t>
      </w:r>
      <w:r>
        <w:t xml:space="preserve"> </w:t>
      </w:r>
      <w:r>
        <w:t xml:space="preserve">agriculture increasingly depend on the introduction of genetic sequence</w:t>
      </w:r>
      <w:r>
        <w:t xml:space="preserve"> </w:t>
      </w:r>
      <w:r>
        <w:t xml:space="preserve">into a novel background. Second, because introgression provides a</w:t>
      </w:r>
      <w:r>
        <w:t xml:space="preserve"> </w:t>
      </w:r>
      <w:r>
        <w:t xml:space="preserve">potentially faster and more reliable route for the adaptive evolution of</w:t>
      </w:r>
      <w:r>
        <w:t xml:space="preserve"> </w:t>
      </w:r>
      <w:r>
        <w:t xml:space="preserve">phenotype than de novo mutation, meaning that natural systems and</w:t>
      </w:r>
      <w:r>
        <w:t xml:space="preserve"> </w:t>
      </w:r>
      <w:r>
        <w:t xml:space="preserve">breeding programs alike may depend on introgression in order to</w:t>
      </w:r>
      <w:r>
        <w:t xml:space="preserve"> </w:t>
      </w:r>
      <w:r>
        <w:t xml:space="preserve">facilitate rapid evolution of adaptive traits in response to changing</w:t>
      </w:r>
      <w:r>
        <w:t xml:space="preserve"> </w:t>
      </w:r>
      <w:r>
        <w:t xml:space="preserve">climates.</w:t>
      </w:r>
    </w:p>
    <w:p>
      <w:pPr>
        <w:pStyle w:val="BodyText"/>
      </w:pPr>
      <w:r>
        <w:t xml:space="preserve">The size and molecular origin of the genetic variation that is exchanged</w:t>
      </w:r>
      <w:r>
        <w:t xml:space="preserve"> </w:t>
      </w:r>
      <w:r>
        <w:t xml:space="preserve">between species through adaptive introgression is important to define,</w:t>
      </w:r>
      <w:r>
        <w:t xml:space="preserve"> </w:t>
      </w:r>
      <w:r>
        <w:t xml:space="preserve">as a growing body of research suggests that genomic structural variation</w:t>
      </w:r>
      <w:r>
        <w:t xml:space="preserve"> </w:t>
      </w:r>
      <w:r>
        <w:t xml:space="preserve">(SV), here defined as genetic variation larger than 50bp resulting for</w:t>
      </w:r>
      <w:r>
        <w:t xml:space="preserve"> </w:t>
      </w:r>
      <w:r>
        <w:t xml:space="preserve">insertion, deletion, translocation or inversion of genomic sequence, is</w:t>
      </w:r>
      <w:r>
        <w:t xml:space="preserve"> </w:t>
      </w:r>
      <w:r>
        <w:t xml:space="preserve">often the causal variation underlying ecologically and economically</w:t>
      </w:r>
      <w:r>
        <w:t xml:space="preserve"> </w:t>
      </w:r>
      <w:r>
        <w:t xml:space="preserve">important traits in many taxa (</w:t>
      </w:r>
      <w:r>
        <w:rPr>
          <w:i/>
          <w:iCs/>
        </w:rPr>
        <w:t xml:space="preserve">CITE</w:t>
      </w:r>
      <w:r>
        <w:t xml:space="preserve">). For instance, SV may play a role</w:t>
      </w:r>
      <w:r>
        <w:t xml:space="preserve"> </w:t>
      </w:r>
      <w:r>
        <w:t xml:space="preserve">in local adaptation to climate, and past research shows divergence</w:t>
      </w:r>
      <w:r>
        <w:t xml:space="preserve"> </w:t>
      </w:r>
      <w:r>
        <w:t xml:space="preserve">between populations for SV genotypes resulting from local adaptation</w:t>
      </w:r>
      <w:r>
        <w:t xml:space="preserve"> </w:t>
      </w:r>
      <w:r>
        <w:t xml:space="preserve">(Hämälä et al. 2021; Songsomboon et al. 2021; Y. Li et al. 2024; Z. Li et al. 2023)</w:t>
      </w:r>
      <w:r>
        <w:t xml:space="preserve">.</w:t>
      </w:r>
      <w:r>
        <w:t xml:space="preserve"> </w:t>
      </w:r>
      <w:r>
        <w:t xml:space="preserve">At a broader scale, research also shows that SV maintain genetic</w:t>
      </w:r>
      <w:r>
        <w:t xml:space="preserve"> </w:t>
      </w:r>
      <w:r>
        <w:t xml:space="preserve">differentiation between species</w:t>
      </w:r>
      <w:r>
        <w:t xml:space="preserve"> </w:t>
      </w:r>
      <w:r>
        <w:t xml:space="preserve">(L. Zhang et al. 2021; Ferguson et al. 2024)</w:t>
      </w:r>
      <w:r>
        <w:t xml:space="preserve">. However, little is known about the adaptive</w:t>
      </w:r>
      <w:r>
        <w:t xml:space="preserve"> </w:t>
      </w:r>
      <w:r>
        <w:t xml:space="preserve">exchange of SV genotypes between divergent populations and species.</w:t>
      </w:r>
      <w:r>
        <w:t xml:space="preserve"> </w:t>
      </w:r>
      <w:r>
        <w:t xml:space="preserve">Introgression between crop varietals and wild relatives is a key factor</w:t>
      </w:r>
      <w:r>
        <w:t xml:space="preserve"> </w:t>
      </w:r>
      <w:r>
        <w:t xml:space="preserve">in the breeding history of many crops, and recent work shows that SV are</w:t>
      </w:r>
      <w:r>
        <w:t xml:space="preserve"> </w:t>
      </w:r>
      <w:r>
        <w:t xml:space="preserve">often the causal variants involved in this process</w:t>
      </w:r>
      <w:r>
        <w:t xml:space="preserve"> </w:t>
      </w:r>
      <w:r>
        <w:t xml:space="preserve">(Gao et al. 2019; Kou et al. 2020; Cheng et al. 2019; Sun et al. 2020,; Qiao et al. 2021; Zanini et al. 2022)</w:t>
      </w:r>
      <w:r>
        <w:t xml:space="preserve">. Introgression is also</w:t>
      </w:r>
      <w:r>
        <w:t xml:space="preserve"> </w:t>
      </w:r>
      <w:r>
        <w:t xml:space="preserve">common in natural systems and recent work highlights introgression as an</w:t>
      </w:r>
      <w:r>
        <w:t xml:space="preserve"> </w:t>
      </w:r>
      <w:r>
        <w:t xml:space="preserve">important source of adaptive genetic novelty in many species,</w:t>
      </w:r>
      <w:r>
        <w:t xml:space="preserve"> </w:t>
      </w:r>
      <w:r>
        <w:t xml:space="preserve">particularly forest trees</w:t>
      </w:r>
      <w:r>
        <w:t xml:space="preserve"> </w:t>
      </w:r>
      <w:r>
        <w:t xml:space="preserve">(Suarez-Gonzalez, Lexer, and Cronk 2018; Leroy et al. 2020; Rendón-Anaya et al. 2021; Hamilton and Miller 2016)</w:t>
      </w:r>
      <w:r>
        <w:t xml:space="preserve">. However, past work on the</w:t>
      </w:r>
      <w:r>
        <w:t xml:space="preserve"> </w:t>
      </w:r>
      <w:r>
        <w:t xml:space="preserve">genetics of such adaptive introgression in natural systems focused</w:t>
      </w:r>
      <w:r>
        <w:t xml:space="preserve"> </w:t>
      </w:r>
      <w:r>
        <w:t xml:space="preserve">primarily on SNP genotypes. While hybrid genomes may be porous to</w:t>
      </w:r>
      <w:r>
        <w:t xml:space="preserve"> </w:t>
      </w:r>
      <w:r>
        <w:t xml:space="preserve">variation at the single nucleotide scale, and introgressed SNP alleles</w:t>
      </w:r>
      <w:r>
        <w:t xml:space="preserve"> </w:t>
      </w:r>
      <w:r>
        <w:t xml:space="preserve">may even present an adaptive advantage in admixed individuals, it</w:t>
      </w:r>
      <w:r>
        <w:t xml:space="preserve"> </w:t>
      </w:r>
      <w:r>
        <w:t xml:space="preserve">remains unclear if the same is true for SV genotypes, which have greater</w:t>
      </w:r>
      <w:r>
        <w:t xml:space="preserve"> </w:t>
      </w:r>
      <w:r>
        <w:t xml:space="preserve">potential for deleterious phenotypic effects. Recently, research has</w:t>
      </w:r>
      <w:r>
        <w:t xml:space="preserve"> </w:t>
      </w:r>
      <w:r>
        <w:t xml:space="preserve">highlighted a potential role for SV in adaptive introgression. This work</w:t>
      </w:r>
      <w:r>
        <w:t xml:space="preserve"> </w:t>
      </w:r>
      <w:r>
        <w:t xml:space="preserve">suggests that SV may play an important role in both adaptive</w:t>
      </w:r>
      <w:r>
        <w:t xml:space="preserve"> </w:t>
      </w:r>
      <w:r>
        <w:t xml:space="preserve">introgression</w:t>
      </w:r>
      <w:r>
        <w:t xml:space="preserve"> </w:t>
      </w:r>
      <w:r>
        <w:t xml:space="preserve">(Almarri et al. 2020; Xia et al. 2023; X. Zhang et al. 2021)</w:t>
      </w:r>
      <w:r>
        <w:t xml:space="preserve"> </w:t>
      </w:r>
      <w:r>
        <w:t xml:space="preserve">and in the maintenance of species boundaries</w:t>
      </w:r>
      <w:r>
        <w:t xml:space="preserve"> </w:t>
      </w:r>
      <w:r>
        <w:t xml:space="preserve">(L. Zhang et al. 2021)</w:t>
      </w:r>
      <w:r>
        <w:t xml:space="preserve">. If SV is indeed involved in adaptive</w:t>
      </w:r>
      <w:r>
        <w:t xml:space="preserve"> </w:t>
      </w:r>
      <w:r>
        <w:t xml:space="preserve">introgression, it is worth investigating the molecular nature (eg size,</w:t>
      </w:r>
      <w:r>
        <w:t xml:space="preserve"> </w:t>
      </w:r>
      <w:r>
        <w:t xml:space="preserve">frequency, variant class, genomic location) of the SV alleles involved,</w:t>
      </w:r>
      <w:r>
        <w:t xml:space="preserve"> </w:t>
      </w:r>
      <w:r>
        <w:t xml:space="preserve">as well as the consistency and directionality of adaptive introgression</w:t>
      </w:r>
      <w:r>
        <w:t xml:space="preserve"> </w:t>
      </w:r>
      <w:r>
        <w:t xml:space="preserve">involving SV. Admixed individuals may present mosaics of SV alleles</w:t>
      </w:r>
      <w:r>
        <w:t xml:space="preserve"> </w:t>
      </w:r>
      <w:r>
        <w:t xml:space="preserve">derived from both parental species, or introgression may be</w:t>
      </w:r>
      <w:r>
        <w:t xml:space="preserve"> </w:t>
      </w:r>
      <w:r>
        <w:t xml:space="preserve">directionally biased toward one species. Similarly, some loci may act as</w:t>
      </w:r>
      <w:r>
        <w:t xml:space="preserve"> </w:t>
      </w:r>
      <w:r>
        <w:t xml:space="preserve">barriers to introgression, while others are more receptive. Natural</w:t>
      </w:r>
      <w:r>
        <w:t xml:space="preserve"> </w:t>
      </w:r>
      <w:r>
        <w:t xml:space="preserve">hybrid zones may be hotspots for the de novo generation of SV alleles</w:t>
      </w:r>
      <w:r>
        <w:t xml:space="preserve"> </w:t>
      </w:r>
      <w:r>
        <w:t xml:space="preserve">through processes such as unequal crossing over. Here, we leverage</w:t>
      </w:r>
      <w:r>
        <w:t xml:space="preserve"> </w:t>
      </w:r>
      <w:r>
        <w:t xml:space="preserve">extensive sampling of natural forest tree hybrid zones, cutting edge</w:t>
      </w:r>
      <w:r>
        <w:t xml:space="preserve"> </w:t>
      </w:r>
      <w:r>
        <w:t xml:space="preserve">techniques for genotyping SV in admixed individuals and established</w:t>
      </w:r>
      <w:r>
        <w:t xml:space="preserve"> </w:t>
      </w:r>
      <w:r>
        <w:t xml:space="preserve">landscape genomics analyses to investigate these areas of uncertainty.</w:t>
      </w:r>
    </w:p>
    <w:p>
      <w:pPr>
        <w:pStyle w:val="BodyText"/>
      </w:pPr>
      <w:r>
        <w:t xml:space="preserve">The study of SV in natural hybrid zones is challenging, as it requires</w:t>
      </w:r>
      <w:r>
        <w:t xml:space="preserve"> </w:t>
      </w:r>
      <w:r>
        <w:t xml:space="preserve">the ability to accurately genotype SV in a large number of admixed</w:t>
      </w:r>
      <w:r>
        <w:t xml:space="preserve"> </w:t>
      </w:r>
      <w:r>
        <w:t xml:space="preserve">individuals. The majority of past research on SV in natural hybrid zones</w:t>
      </w:r>
      <w:r>
        <w:t xml:space="preserve"> </w:t>
      </w:r>
      <w:r>
        <w:t xml:space="preserve">has relied on the use of reference genomes derived from a single</w:t>
      </w:r>
      <w:r>
        <w:t xml:space="preserve"> </w:t>
      </w:r>
      <w:r>
        <w:t xml:space="preserve">individual from only one of the parental species, which can lead to</w:t>
      </w:r>
      <w:r>
        <w:t xml:space="preserve"> </w:t>
      </w:r>
      <w:r>
        <w:t xml:space="preserve">reference bias</w:t>
      </w:r>
      <w:r>
        <w:t xml:space="preserve"> </w:t>
      </w:r>
      <w:r>
        <w:t xml:space="preserve">(Bock et al. 2023; Song et al. 2023; Feng et al. 2024)</w:t>
      </w:r>
      <w:r>
        <w:t xml:space="preserve">. Reference bias occurs when the genomes of</w:t>
      </w:r>
      <w:r>
        <w:t xml:space="preserve"> </w:t>
      </w:r>
      <w:r>
        <w:t xml:space="preserve">resequenced individuals contain regions that are highly diverged from</w:t>
      </w:r>
      <w:r>
        <w:t xml:space="preserve"> </w:t>
      </w:r>
      <w:r>
        <w:t xml:space="preserve">the reference genome sequence, causing reads originating from these</w:t>
      </w:r>
      <w:r>
        <w:t xml:space="preserve"> </w:t>
      </w:r>
      <w:r>
        <w:t xml:space="preserve">regions to align incorrectly, or not align at all. This can lead to</w:t>
      </w:r>
      <w:r>
        <w:t xml:space="preserve"> </w:t>
      </w:r>
      <w:r>
        <w:t xml:space="preserve">misinterpretation or under-representation of variation resulting from</w:t>
      </w:r>
      <w:r>
        <w:t xml:space="preserve"> </w:t>
      </w:r>
      <w:r>
        <w:t xml:space="preserve">admixture</w:t>
      </w:r>
      <w:r>
        <w:t xml:space="preserve"> </w:t>
      </w:r>
      <w:r>
        <w:t xml:space="preserve">(Secomandi et al. 2025)</w:t>
      </w:r>
      <w:r>
        <w:t xml:space="preserve">. Reference bias is particularly</w:t>
      </w:r>
      <w:r>
        <w:t xml:space="preserve"> </w:t>
      </w:r>
      <w:r>
        <w:t xml:space="preserve">problematic when studying SV, as large insertions and deletions may be</w:t>
      </w:r>
      <w:r>
        <w:t xml:space="preserve"> </w:t>
      </w:r>
      <w:r>
        <w:t xml:space="preserve">longer than sequencing reads, making variation in their presence and</w:t>
      </w:r>
      <w:r>
        <w:t xml:space="preserve"> </w:t>
      </w:r>
      <w:r>
        <w:t xml:space="preserve">absence (PAV) challenging to detect. Furthermore, SV is often</w:t>
      </w:r>
      <w:r>
        <w:t xml:space="preserve"> </w:t>
      </w:r>
      <w:r>
        <w:t xml:space="preserve">species-specific and, because admixed individuals represent a mixture of</w:t>
      </w:r>
      <w:r>
        <w:t xml:space="preserve"> </w:t>
      </w:r>
      <w:r>
        <w:t xml:space="preserve">genetic variation from two or more species, the presence of reference</w:t>
      </w:r>
      <w:r>
        <w:t xml:space="preserve"> </w:t>
      </w:r>
      <w:r>
        <w:t xml:space="preserve">bias can obscure the effect that the presence (or absence) of genetic</w:t>
      </w:r>
      <w:r>
        <w:t xml:space="preserve"> </w:t>
      </w:r>
      <w:r>
        <w:t xml:space="preserve">variation has on traits, and can hinder the identification of SV that is</w:t>
      </w:r>
      <w:r>
        <w:t xml:space="preserve"> </w:t>
      </w:r>
      <w:r>
        <w:t xml:space="preserve">involved in introgression.</w:t>
      </w:r>
    </w:p>
    <w:p>
      <w:pPr>
        <w:pStyle w:val="BodyText"/>
      </w:pPr>
      <w:r>
        <w:t xml:space="preserve">Recently, an increasing number of studies have relied on pan-genome</w:t>
      </w:r>
      <w:r>
        <w:t xml:space="preserve"> </w:t>
      </w:r>
      <w:r>
        <w:t xml:space="preserve">assembly to overcome reference bias and to accurately genotype SV</w:t>
      </w:r>
      <w:r>
        <w:t xml:space="preserve"> </w:t>
      </w:r>
      <w:r>
        <w:t xml:space="preserve">(Liang et al. 2025; Secomandi et al. 2025; Kang et al. 2023; Gao et al. 2019; Z. Li et al. 2023; Y. Li et al. 2024; Songsomboon et al. 2021)</w:t>
      </w:r>
      <w:r>
        <w:t xml:space="preserve">. A pan-genome assembly</w:t>
      </w:r>
      <w:r>
        <w:t xml:space="preserve"> </w:t>
      </w:r>
      <w:r>
        <w:t xml:space="preserve">is a non-redundant collection of sequences originating from multiple</w:t>
      </w:r>
      <w:r>
        <w:t xml:space="preserve"> </w:t>
      </w:r>
      <w:r>
        <w:t xml:space="preserve">individuals. This genetic information can be represented as</w:t>
      </w:r>
      <w:r>
        <w:t xml:space="preserve"> </w:t>
      </w:r>
      <w:r>
        <w:t xml:space="preserve">“nodes”</w:t>
      </w:r>
      <w:r>
        <w:t xml:space="preserve"> </w:t>
      </w:r>
      <w:r>
        <w:t xml:space="preserve">in a</w:t>
      </w:r>
      <w:r>
        <w:t xml:space="preserve"> </w:t>
      </w:r>
      <w:r>
        <w:t xml:space="preserve">pan-genome graph, while the linear sequence of each input genome is</w:t>
      </w:r>
      <w:r>
        <w:t xml:space="preserve"> </w:t>
      </w:r>
      <w:r>
        <w:t xml:space="preserve">stored as a</w:t>
      </w:r>
      <w:r>
        <w:t xml:space="preserve"> </w:t>
      </w:r>
      <w:r>
        <w:t xml:space="preserve">“path”</w:t>
      </w:r>
      <w:r>
        <w:t xml:space="preserve"> </w:t>
      </w:r>
      <w:r>
        <w:t xml:space="preserve">connecting a series of nodes. In a pan-genome graph,</w:t>
      </w:r>
      <w:r>
        <w:t xml:space="preserve"> </w:t>
      </w:r>
      <w:r>
        <w:t xml:space="preserve">each node describes the alignment between at least two sequences, given</w:t>
      </w:r>
      <w:r>
        <w:t xml:space="preserve"> </w:t>
      </w:r>
      <w:r>
        <w:t xml:space="preserve">an expected level of sequence divergence</w:t>
      </w:r>
      <w:r>
        <w:t xml:space="preserve"> </w:t>
      </w:r>
      <w:r>
        <w:t xml:space="preserve">(Kang et al. 2023)</w:t>
      </w:r>
      <w:r>
        <w:t xml:space="preserve">. Pan-genome</w:t>
      </w:r>
      <w:r>
        <w:t xml:space="preserve"> </w:t>
      </w:r>
      <w:r>
        <w:t xml:space="preserve">graphs can capture complex variation that is not present in a single</w:t>
      </w:r>
      <w:r>
        <w:t xml:space="preserve"> </w:t>
      </w:r>
      <w:r>
        <w:t xml:space="preserve">reference genome, and can provide a more accurate representation of the</w:t>
      </w:r>
      <w:r>
        <w:t xml:space="preserve"> </w:t>
      </w:r>
      <w:r>
        <w:t xml:space="preserve">genetic variation present in admixed individuals. Pan-genome assembly</w:t>
      </w:r>
      <w:r>
        <w:t xml:space="preserve"> </w:t>
      </w:r>
      <w:r>
        <w:t xml:space="preserve">has been used to identify and genotype SV related to ecologically and</w:t>
      </w:r>
      <w:r>
        <w:t xml:space="preserve"> </w:t>
      </w:r>
      <w:r>
        <w:t xml:space="preserve">economically important traits in a variety of taxa, and has been shown</w:t>
      </w:r>
      <w:r>
        <w:t xml:space="preserve"> </w:t>
      </w:r>
      <w:r>
        <w:t xml:space="preserve">to be an effective tool for studying adaptive evolution in natural</w:t>
      </w:r>
      <w:r>
        <w:t xml:space="preserve"> </w:t>
      </w:r>
      <w:r>
        <w:t xml:space="preserve">populations</w:t>
      </w:r>
      <w:r>
        <w:t xml:space="preserve"> </w:t>
      </w:r>
      <w:r>
        <w:t xml:space="preserve">(Secomandi et al. 2025; Fang and Edwards 2024; Kang et al. 2023)</w:t>
      </w:r>
      <w:r>
        <w:t xml:space="preserve">.</w:t>
      </w:r>
      <w:r>
        <w:t xml:space="preserve"> </w:t>
      </w:r>
      <w:r>
        <w:t xml:space="preserve">Pan-genome assembly could help overcome the challenges of studying SV in</w:t>
      </w:r>
      <w:r>
        <w:t xml:space="preserve"> </w:t>
      </w:r>
      <w:r>
        <w:t xml:space="preserve">admixed tree populations, and could provide new insights into the role</w:t>
      </w:r>
      <w:r>
        <w:t xml:space="preserve"> </w:t>
      </w:r>
      <w:r>
        <w:t xml:space="preserve">of SV in adaptive introgression in natural populations of forest trees</w:t>
      </w:r>
      <w:r>
        <w:t xml:space="preserve"> </w:t>
      </w:r>
      <w:r>
        <w:t xml:space="preserve">(Secomandi et al. 2025)</w:t>
      </w:r>
      <w:r>
        <w:t xml:space="preserve">. Despite this potential, we know of only one</w:t>
      </w:r>
      <w:r>
        <w:t xml:space="preserve"> </w:t>
      </w:r>
      <w:r>
        <w:t xml:space="preserve">study that used pan-genome assembly to examine introgression in the</w:t>
      </w:r>
      <w:r>
        <w:t xml:space="preserve"> </w:t>
      </w:r>
      <w:r>
        <w:t xml:space="preserve">context of hybridization in the wild. Liang et al. (2025) use a</w:t>
      </w:r>
      <w:r>
        <w:t xml:space="preserve"> </w:t>
      </w:r>
      <w:r>
        <w:t xml:space="preserve">pan-genome based approach to genotype SV in a range-wide sampling of the</w:t>
      </w:r>
      <w:r>
        <w:t xml:space="preserve"> </w:t>
      </w:r>
      <w:r>
        <w:t xml:space="preserve">interfertile oak species</w:t>
      </w:r>
      <w:r>
        <w:t xml:space="preserve"> </w:t>
      </w:r>
      <w:r>
        <w:rPr>
          <w:i/>
          <w:iCs/>
        </w:rPr>
        <w:t xml:space="preserve">Quercus variabilis</w:t>
      </w:r>
      <w:r>
        <w:t xml:space="preserve"> </w:t>
      </w:r>
      <w:r>
        <w:t xml:space="preserve">and</w:t>
      </w:r>
      <w:r>
        <w:t xml:space="preserve"> </w:t>
      </w:r>
      <w:r>
        <w:rPr>
          <w:i/>
          <w:iCs/>
        </w:rPr>
        <w:t xml:space="preserve">Q. acutissima</w:t>
      </w:r>
      <w:r>
        <w:t xml:space="preserve">,</w:t>
      </w:r>
      <w:r>
        <w:t xml:space="preserve"> </w:t>
      </w:r>
      <w:r>
        <w:t xml:space="preserve">showing that SV harbor signals of adaptive introgression that differ</w:t>
      </w:r>
      <w:r>
        <w:t xml:space="preserve"> </w:t>
      </w:r>
      <w:r>
        <w:t xml:space="preserve">from those detected from SNP data and identifying adaptive introgression</w:t>
      </w:r>
      <w:r>
        <w:t xml:space="preserve"> </w:t>
      </w:r>
      <w:r>
        <w:t xml:space="preserve">of SV genotypes in a gene rich region of oak chromosome 9</w:t>
      </w:r>
      <w:r>
        <w:t xml:space="preserve"> </w:t>
      </w:r>
      <w:r>
        <w:t xml:space="preserve">(Liang et al. 2025)</w:t>
      </w:r>
      <w:r>
        <w:t xml:space="preserve">.</w:t>
      </w:r>
      <w:r>
        <w:t xml:space="preserve"> </w:t>
      </w:r>
      <w:r>
        <w:t xml:space="preserve">In light of this work, it is worth investigating if signatures adaptive</w:t>
      </w:r>
      <w:r>
        <w:t xml:space="preserve"> </w:t>
      </w:r>
      <w:r>
        <w:t xml:space="preserve">introgression on SV exist in other interfertile tree species and asking</w:t>
      </w:r>
      <w:r>
        <w:t xml:space="preserve"> </w:t>
      </w:r>
      <w:r>
        <w:t xml:space="preserve">not only how this adaptive signal is distributed across the whole genome</w:t>
      </w:r>
      <w:r>
        <w:t xml:space="preserve"> </w:t>
      </w:r>
      <w:r>
        <w:t xml:space="preserve">but also how it varies with environmental context across the range of</w:t>
      </w:r>
      <w:r>
        <w:t xml:space="preserve"> </w:t>
      </w:r>
      <w:r>
        <w:t xml:space="preserve">hybridizing species. Here, we add to this nascent line of research by</w:t>
      </w:r>
      <w:r>
        <w:t xml:space="preserve"> </w:t>
      </w:r>
      <w:r>
        <w:t xml:space="preserve">leveraging pan-genome assembly and fine-scale sampling of natural hybrid</w:t>
      </w:r>
      <w:r>
        <w:t xml:space="preserve"> </w:t>
      </w:r>
      <w:r>
        <w:t xml:space="preserve">zones to explore genome-wide relationship between structural variation</w:t>
      </w:r>
      <w:r>
        <w:t xml:space="preserve"> </w:t>
      </w:r>
      <w:r>
        <w:t xml:space="preserve">and introgression between</w:t>
      </w:r>
      <w:r>
        <w:t xml:space="preserve"> </w:t>
      </w:r>
      <w:r>
        <w:rPr>
          <w:i/>
          <w:iCs/>
        </w:rPr>
        <w:t xml:space="preserve">Populus balsamifera</w:t>
      </w:r>
      <w:r>
        <w:t xml:space="preserve"> </w:t>
      </w:r>
      <w:r>
        <w:t xml:space="preserve">and</w:t>
      </w:r>
      <w:r>
        <w:t xml:space="preserve"> </w:t>
      </w:r>
      <w:r>
        <w:rPr>
          <w:i/>
          <w:iCs/>
        </w:rPr>
        <w:t xml:space="preserve">Populus</w:t>
      </w:r>
      <w:r>
        <w:rPr>
          <w:i/>
          <w:iCs/>
        </w:rPr>
        <w:t xml:space="preserve"> </w:t>
      </w:r>
      <w:r>
        <w:rPr>
          <w:i/>
          <w:iCs/>
        </w:rPr>
        <w:t xml:space="preserve">trichocarpa</w:t>
      </w:r>
      <w:r>
        <w:t xml:space="preserve">, two forest tree species that diverged much more recently</w:t>
      </w:r>
      <w:r>
        <w:t xml:space="preserve"> </w:t>
      </w:r>
      <w:r>
        <w:t xml:space="preserve">than the oak species studied by Liang et al. (2025).</w:t>
      </w:r>
    </w:p>
    <w:p>
      <w:pPr>
        <w:pStyle w:val="BodyText"/>
      </w:pPr>
      <w:r>
        <w:rPr>
          <w:i/>
          <w:iCs/>
        </w:rPr>
        <w:t xml:space="preserve">Populus balsamifera</w:t>
      </w:r>
      <w:r>
        <w:t xml:space="preserve"> </w:t>
      </w:r>
      <w:r>
        <w:t xml:space="preserve">and</w:t>
      </w:r>
      <w:r>
        <w:t xml:space="preserve"> </w:t>
      </w:r>
      <w:r>
        <w:rPr>
          <w:i/>
          <w:iCs/>
        </w:rPr>
        <w:t xml:space="preserve">Populus trichocarpa</w:t>
      </w:r>
      <w:r>
        <w:t xml:space="preserve"> </w:t>
      </w:r>
      <w:r>
        <w:t xml:space="preserve">readily interbreed in</w:t>
      </w:r>
      <w:r>
        <w:t xml:space="preserve"> </w:t>
      </w:r>
      <w:r>
        <w:t xml:space="preserve">nature, and early and advanced generation hybrids have been described in</w:t>
      </w:r>
      <w:r>
        <w:t xml:space="preserve"> </w:t>
      </w:r>
      <w:r>
        <w:t xml:space="preserve">hybrid zones located where their ranges overlap</w:t>
      </w:r>
      <w:r>
        <w:t xml:space="preserve"> </w:t>
      </w:r>
      <w:r>
        <w:t xml:space="preserve">(Geraldes et al. 2014; Suarez-Gonzalez et al. 2016, 2018; Chhatre et al. 2018)</w:t>
      </w:r>
      <w:r>
        <w:t xml:space="preserve">. It is thought that</w:t>
      </w:r>
      <w:r>
        <w:t xml:space="preserve"> </w:t>
      </w:r>
      <w:r>
        <w:t xml:space="preserve">hybridization between these two species facilitates introgression of</w:t>
      </w:r>
      <w:r>
        <w:t xml:space="preserve"> </w:t>
      </w:r>
      <w:r>
        <w:t xml:space="preserve">genetic variation related to locally-adaptive phenotypes from one</w:t>
      </w:r>
      <w:r>
        <w:t xml:space="preserve"> </w:t>
      </w:r>
      <w:r>
        <w:t xml:space="preserve">species to the other</w:t>
      </w:r>
      <w:r>
        <w:t xml:space="preserve"> </w:t>
      </w:r>
      <w:r>
        <w:t xml:space="preserve">(Suarez-Gonzalez et al. 2016, 2018)</w:t>
      </w:r>
      <w:r>
        <w:t xml:space="preserve">. However, studies on</w:t>
      </w:r>
      <w:r>
        <w:t xml:space="preserve"> </w:t>
      </w:r>
      <w:r>
        <w:t xml:space="preserve">controlled inter-specific crosses in</w:t>
      </w:r>
      <w:r>
        <w:t xml:space="preserve"> </w:t>
      </w:r>
      <w:r>
        <w:rPr>
          <w:i/>
          <w:iCs/>
        </w:rPr>
        <w:t xml:space="preserve">Populus</w:t>
      </w:r>
      <w:r>
        <w:t xml:space="preserve"> </w:t>
      </w:r>
      <w:r>
        <w:t xml:space="preserve">have made it clear that</w:t>
      </w:r>
      <w:r>
        <w:t xml:space="preserve"> </w:t>
      </w:r>
      <w:r>
        <w:t xml:space="preserve">introgression is often biased toward particular regions of the genome,</w:t>
      </w:r>
      <w:r>
        <w:t xml:space="preserve"> </w:t>
      </w:r>
      <w:r>
        <w:t xml:space="preserve">particular</w:t>
      </w:r>
      <w:r>
        <w:t xml:space="preserve"> </w:t>
      </w:r>
      <w:r>
        <w:rPr>
          <w:i/>
          <w:iCs/>
        </w:rPr>
        <w:t xml:space="preserve">Populus</w:t>
      </w:r>
      <w:r>
        <w:t xml:space="preserve"> </w:t>
      </w:r>
      <w:r>
        <w:t xml:space="preserve">species, or specific environments</w:t>
      </w:r>
      <w:r>
        <w:t xml:space="preserve"> </w:t>
      </w:r>
      <w:r>
        <w:t xml:space="preserve">(Lexer et al. 2005; Thompson et al. 2010; Meirmans et al. 2017)</w:t>
      </w:r>
      <w:r>
        <w:t xml:space="preserve">.</w:t>
      </w:r>
      <w:r>
        <w:t xml:space="preserve"> </w:t>
      </w:r>
      <w:r>
        <w:t xml:space="preserve">Therefore, the porosity of the genome to adaptive introgression between</w:t>
      </w:r>
      <w:r>
        <w:t xml:space="preserve"> </w:t>
      </w:r>
      <w:r>
        <w:t xml:space="preserve">these species may be constrained by incompatibilities between the</w:t>
      </w:r>
      <w:r>
        <w:t xml:space="preserve"> </w:t>
      </w:r>
      <w:r>
        <w:t xml:space="preserve">genomic variants involved as well as environmental context, two factors</w:t>
      </w:r>
      <w:r>
        <w:t xml:space="preserve"> </w:t>
      </w:r>
      <w:r>
        <w:t xml:space="preserve">which warrant further investigation. The environmental context of</w:t>
      </w:r>
      <w:r>
        <w:t xml:space="preserve"> </w:t>
      </w:r>
      <w:r>
        <w:t xml:space="preserve">adaptive introgression may be of particular importance in the case of</w:t>
      </w:r>
      <w:r>
        <w:t xml:space="preserve"> </w:t>
      </w:r>
      <w:r>
        <w:rPr>
          <w:i/>
          <w:iCs/>
        </w:rPr>
        <w:t xml:space="preserve">P. balsamifera</w:t>
      </w:r>
      <w:r>
        <w:t xml:space="preserve"> </w:t>
      </w:r>
      <w:r>
        <w:t xml:space="preserve">and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.</w:t>
      </w:r>
      <w:r>
        <w:t xml:space="preserve"> </w:t>
      </w:r>
      <w:r>
        <w:rPr>
          <w:i/>
          <w:iCs/>
        </w:rPr>
        <w:t xml:space="preserve">P. balsamifera</w:t>
      </w:r>
      <w:r>
        <w:t xml:space="preserve"> </w:t>
      </w:r>
      <w:r>
        <w:t xml:space="preserve">is more commonly</w:t>
      </w:r>
      <w:r>
        <w:t xml:space="preserve"> </w:t>
      </w:r>
      <w:r>
        <w:t xml:space="preserve">found in colder, continental climates while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 </w:t>
      </w:r>
      <w:r>
        <w:t xml:space="preserve">is more</w:t>
      </w:r>
      <w:r>
        <w:t xml:space="preserve"> </w:t>
      </w:r>
      <w:r>
        <w:t xml:space="preserve">often associated with milder, coastal climates with longer growing</w:t>
      </w:r>
      <w:r>
        <w:t xml:space="preserve"> </w:t>
      </w:r>
      <w:r>
        <w:t xml:space="preserve">seasons</w:t>
      </w:r>
      <w:r>
        <w:t xml:space="preserve"> </w:t>
      </w:r>
      <w:r>
        <w:t xml:space="preserve">(Geraldes et al. 2014; Suarez-Gonzalez et al. 2018)</w:t>
      </w:r>
      <w:r>
        <w:t xml:space="preserve">. Considering hybrid zones</w:t>
      </w:r>
      <w:r>
        <w:t xml:space="preserve"> </w:t>
      </w:r>
      <w:r>
        <w:t xml:space="preserve">between these species often fall along the boundaries of their ranges</w:t>
      </w:r>
      <w:r>
        <w:t xml:space="preserve"> </w:t>
      </w:r>
      <w:r>
        <w:t xml:space="preserve">(</w:t>
      </w:r>
      <w:r>
        <w:t xml:space="preserve">Chhatre et al. (2018)</w:t>
      </w:r>
      <w:r>
        <w:t xml:space="preserve">;</w:t>
      </w:r>
      <w:r>
        <w:t xml:space="preserve"> </w:t>
      </w:r>
      <w:r>
        <w:t xml:space="preserve">Fetter and Keller (2023)</w:t>
      </w:r>
      <w:r>
        <w:t xml:space="preserve">), it seems possible that</w:t>
      </w:r>
      <w:r>
        <w:t xml:space="preserve"> </w:t>
      </w:r>
      <w:r>
        <w:t xml:space="preserve">adaptive introgression helps hybrid individuals persist in environments</w:t>
      </w:r>
      <w:r>
        <w:t xml:space="preserve"> </w:t>
      </w:r>
      <w:r>
        <w:t xml:space="preserve">that are outside of the optimum for either parental species.</w:t>
      </w:r>
      <w:r>
        <w:t xml:space="preserve"> </w:t>
      </w:r>
      <w:r>
        <w:t xml:space="preserve">Suarez-Gonzalez et al. (2018)</w:t>
      </w:r>
      <w:r>
        <w:t xml:space="preserve"> </w:t>
      </w:r>
      <w:r>
        <w:t xml:space="preserve">showed support for this hypothesis, finding that</w:t>
      </w:r>
      <w:r>
        <w:t xml:space="preserve"> </w:t>
      </w:r>
      <w:r>
        <w:t xml:space="preserve">introgressed regions in the genomes of hybrids harbored signs of</w:t>
      </w:r>
      <w:r>
        <w:t xml:space="preserve"> </w:t>
      </w:r>
      <w:r>
        <w:t xml:space="preserve">selection and variation associated with adaptive traits, including</w:t>
      </w:r>
      <w:r>
        <w:t xml:space="preserve"> </w:t>
      </w:r>
      <w:r>
        <w:t xml:space="preserve">phenology. However, the specific adaptive variants within these genomic</w:t>
      </w:r>
      <w:r>
        <w:t xml:space="preserve"> </w:t>
      </w:r>
      <w:r>
        <w:t xml:space="preserve">regions, and the nature of their effects on fitness remain, for the most</w:t>
      </w:r>
      <w:r>
        <w:t xml:space="preserve"> </w:t>
      </w:r>
      <w:r>
        <w:t xml:space="preserve">part, undiscovered. Identification of SV involved in adaptive</w:t>
      </w:r>
      <w:r>
        <w:t xml:space="preserve"> </w:t>
      </w:r>
      <w:r>
        <w:t xml:space="preserve">introgression between these two species would not only contribute to a</w:t>
      </w:r>
      <w:r>
        <w:t xml:space="preserve"> </w:t>
      </w:r>
      <w:r>
        <w:t xml:space="preserve">broader understanding of the molecular basis of adaptive introgression,</w:t>
      </w:r>
      <w:r>
        <w:t xml:space="preserve"> </w:t>
      </w:r>
      <w:r>
        <w:t xml:space="preserve">but would also provide helpful insight into the conservation of these</w:t>
      </w:r>
      <w:r>
        <w:t xml:space="preserve"> </w:t>
      </w:r>
      <w:r>
        <w:t xml:space="preserve">ecologically important species. In trees, long generations times are</w:t>
      </w:r>
      <w:r>
        <w:t xml:space="preserve"> </w:t>
      </w:r>
      <w:r>
        <w:t xml:space="preserve">thought to limit the potential contribution of de novo mutation to</w:t>
      </w:r>
      <w:r>
        <w:t xml:space="preserve"> </w:t>
      </w:r>
      <w:r>
        <w:t xml:space="preserve">adaptive evolution in response to rapid environmental change</w:t>
      </w:r>
      <w:r>
        <w:t xml:space="preserve"> </w:t>
      </w:r>
      <w:r>
        <w:t xml:space="preserve">(Savolainen, Pyhäjärvi, and Knürr 2007; Feng et al. 2024)</w:t>
      </w:r>
      <w:r>
        <w:t xml:space="preserve">. Therefore, adaptive</w:t>
      </w:r>
      <w:r>
        <w:t xml:space="preserve"> </w:t>
      </w:r>
      <w:r>
        <w:t xml:space="preserve">introgression is viewed as one of the few routs for speicies like</w:t>
      </w:r>
      <w:r>
        <w:t xml:space="preserve"> </w:t>
      </w:r>
      <w:r>
        <w:rPr>
          <w:i/>
          <w:iCs/>
        </w:rPr>
        <w:t xml:space="preserve">P.</w:t>
      </w:r>
      <w:r>
        <w:rPr>
          <w:i/>
          <w:iCs/>
        </w:rPr>
        <w:t xml:space="preserve"> </w:t>
      </w:r>
      <w:r>
        <w:rPr>
          <w:i/>
          <w:iCs/>
        </w:rPr>
        <w:t xml:space="preserve">balsamifera</w:t>
      </w:r>
      <w:r>
        <w:t xml:space="preserve"> </w:t>
      </w:r>
      <w:r>
        <w:t xml:space="preserve">and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 </w:t>
      </w:r>
      <w:r>
        <w:t xml:space="preserve">to adaptively evolve in response to</w:t>
      </w:r>
      <w:r>
        <w:t xml:space="preserve"> </w:t>
      </w:r>
      <w:r>
        <w:t xml:space="preserve">climate change</w:t>
      </w:r>
      <w:r>
        <w:t xml:space="preserve"> </w:t>
      </w:r>
      <w:r>
        <w:t xml:space="preserve">(Feng et al. 2024)</w:t>
      </w:r>
      <w:r>
        <w:t xml:space="preserve">. If adaptive introgression does</w:t>
      </w:r>
      <w:r>
        <w:t xml:space="preserve"> </w:t>
      </w:r>
      <w:r>
        <w:t xml:space="preserve">help admixed individuals persist in environments outside of their</w:t>
      </w:r>
      <w:r>
        <w:t xml:space="preserve"> </w:t>
      </w:r>
      <w:r>
        <w:t xml:space="preserve">optimum, then the variation involved could guide genetic conservation</w:t>
      </w:r>
      <w:r>
        <w:t xml:space="preserve"> </w:t>
      </w:r>
      <w:r>
        <w:t xml:space="preserve">efforts, such as assisted gene flow. Furthermore, industrial breeding of</w:t>
      </w:r>
      <w:r>
        <w:t xml:space="preserve"> </w:t>
      </w:r>
      <w:r>
        <w:rPr>
          <w:i/>
          <w:iCs/>
        </w:rPr>
        <w:t xml:space="preserve">Populus</w:t>
      </w:r>
      <w:r>
        <w:t xml:space="preserve"> </w:t>
      </w:r>
      <w:r>
        <w:t xml:space="preserve">varietals generally involves interspecific crosses, and</w:t>
      </w:r>
      <w:r>
        <w:t xml:space="preserve"> </w:t>
      </w:r>
      <w:r>
        <w:t xml:space="preserve">breeding programs would benefit from a clearer understanding of the</w:t>
      </w:r>
      <w:r>
        <w:t xml:space="preserve"> </w:t>
      </w:r>
      <w:r>
        <w:t xml:space="preserve">genetic variation that is involved in adaptive introgression between</w:t>
      </w:r>
      <w:r>
        <w:t xml:space="preserve"> </w:t>
      </w:r>
      <w:r>
        <w:t xml:space="preserve">these two species.</w:t>
      </w:r>
    </w:p>
    <w:p>
      <w:pPr>
        <w:pStyle w:val="BodyText"/>
      </w:pPr>
      <w:r>
        <w:t xml:space="preserve">Here, we take advantage of recent advances in pan-genome assembly</w:t>
      </w:r>
      <w:r>
        <w:t xml:space="preserve"> </w:t>
      </w:r>
      <w:r>
        <w:t xml:space="preserve">methods to produce a pan-genome reference, comprising 24 diverse</w:t>
      </w:r>
      <w:r>
        <w:t xml:space="preserve"> </w:t>
      </w:r>
      <w:r>
        <w:t xml:space="preserve">haplotypes from</w:t>
      </w:r>
      <w:r>
        <w:t xml:space="preserve"> </w:t>
      </w:r>
      <w:r>
        <w:rPr>
          <w:i/>
          <w:iCs/>
        </w:rPr>
        <w:t xml:space="preserve">P. balsamifera</w:t>
      </w:r>
      <w:r>
        <w:t xml:space="preserve">,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 </w:t>
      </w:r>
      <w:r>
        <w:t xml:space="preserve">and their hybrids,</w:t>
      </w:r>
      <w:r>
        <w:t xml:space="preserve"> </w:t>
      </w:r>
      <w:r>
        <w:t xml:space="preserve">facilitating unbiased analysis of the sequence variation that is</w:t>
      </w:r>
      <w:r>
        <w:t xml:space="preserve"> </w:t>
      </w:r>
      <w:r>
        <w:t xml:space="preserve">segregating within natural</w:t>
      </w:r>
      <w:r>
        <w:t xml:space="preserve"> </w:t>
      </w:r>
      <w:r>
        <w:rPr>
          <w:i/>
          <w:iCs/>
        </w:rPr>
        <w:t xml:space="preserve">Populus</w:t>
      </w:r>
      <w:r>
        <w:t xml:space="preserve"> </w:t>
      </w:r>
      <w:r>
        <w:t xml:space="preserve">hybrid zones. Using this new</w:t>
      </w:r>
      <w:r>
        <w:t xml:space="preserve"> </w:t>
      </w:r>
      <w:r>
        <w:t xml:space="preserve">pan-genome assembly, we genotype structural variation across 566</w:t>
      </w:r>
      <w:r>
        <w:t xml:space="preserve"> </w:t>
      </w:r>
      <w:r>
        <w:t xml:space="preserve">individuals sampled from within and outside of 6 distinct</w:t>
      </w:r>
      <w:r>
        <w:t xml:space="preserve"> </w:t>
      </w:r>
      <w:r>
        <w:rPr>
          <w:i/>
          <w:iCs/>
        </w:rPr>
        <w:t xml:space="preserve">P.</w:t>
      </w:r>
      <w:r>
        <w:rPr>
          <w:i/>
          <w:iCs/>
        </w:rPr>
        <w:t xml:space="preserve"> </w:t>
      </w:r>
      <w:r>
        <w:rPr>
          <w:i/>
          <w:iCs/>
        </w:rPr>
        <w:t xml:space="preserve">balsamifera</w:t>
      </w:r>
      <w:r>
        <w:t xml:space="preserve"> </w:t>
      </w:r>
      <w:r>
        <w:t xml:space="preserve">and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 </w:t>
      </w:r>
      <w:r>
        <w:t xml:space="preserve">hybrid zones. We assess the extent of</w:t>
      </w:r>
      <w:r>
        <w:t xml:space="preserve"> </w:t>
      </w:r>
      <w:r>
        <w:t xml:space="preserve">genomic diversity present in these species and their hybrids,</w:t>
      </w:r>
      <w:r>
        <w:t xml:space="preserve"> </w:t>
      </w:r>
      <w:r>
        <w:t xml:space="preserve">identifying genomic variation that is not present in the</w:t>
      </w:r>
      <w:r>
        <w:t xml:space="preserve"> </w:t>
      </w:r>
      <w:r>
        <w:rPr>
          <w:i/>
          <w:iCs/>
        </w:rPr>
        <w:t xml:space="preserve">P.</w:t>
      </w:r>
      <w:r>
        <w:rPr>
          <w:i/>
          <w:iCs/>
        </w:rPr>
        <w:t xml:space="preserve"> </w:t>
      </w:r>
      <w:r>
        <w:rPr>
          <w:i/>
          <w:iCs/>
        </w:rPr>
        <w:t xml:space="preserve">trichocarpa</w:t>
      </w:r>
      <w:r>
        <w:t xml:space="preserve"> </w:t>
      </w:r>
      <w:r>
        <w:t xml:space="preserve">reference genome. Furthermore, we describe structural</w:t>
      </w:r>
      <w:r>
        <w:t xml:space="preserve"> </w:t>
      </w:r>
      <w:r>
        <w:t xml:space="preserve">variation involved both in introgression and in genomic divergence</w:t>
      </w:r>
      <w:r>
        <w:t xml:space="preserve"> </w:t>
      </w:r>
      <w:r>
        <w:t xml:space="preserve">between the two species. We shed light on the role that introgression</w:t>
      </w:r>
      <w:r>
        <w:t xml:space="preserve"> </w:t>
      </w:r>
      <w:r>
        <w:t xml:space="preserve">may play in shaping the pan-genome of these species, and the degree to</w:t>
      </w:r>
      <w:r>
        <w:t xml:space="preserve"> </w:t>
      </w:r>
      <w:r>
        <w:t xml:space="preserve">which tree genomes are porous to the inter-specific exchange of</w:t>
      </w:r>
      <w:r>
        <w:t xml:space="preserve"> </w:t>
      </w:r>
      <w:r>
        <w:t xml:space="preserve">structural variant alleles.</w:t>
      </w:r>
    </w:p>
    <w:bookmarkEnd w:id="20"/>
    <w:bookmarkStart w:id="26" w:name="methods"/>
    <w:p>
      <w:pPr>
        <w:pStyle w:val="Heading2"/>
      </w:pPr>
      <w:r>
        <w:t xml:space="preserve">0.2 Methods</w:t>
      </w:r>
    </w:p>
    <w:bookmarkStart w:id="21" w:name="Xd636a51e25d9934956dd199c92afa9012735cca"/>
    <w:p>
      <w:pPr>
        <w:pStyle w:val="Heading3"/>
      </w:pPr>
      <w:r>
        <w:t xml:space="preserve">0.2.1 Sample collection and whole genome sequencing</w:t>
      </w:r>
    </w:p>
    <w:p>
      <w:pPr>
        <w:pStyle w:val="FirstParagraph"/>
      </w:pPr>
      <w:r>
        <w:t xml:space="preserve">In January 2020, we collected dormant branch cuttings from 546 poplar</w:t>
      </w:r>
      <w:r>
        <w:t xml:space="preserve"> </w:t>
      </w:r>
      <w:r>
        <w:t xml:space="preserve">trees along 7 distinct latitudinal transects spanning natural contact</w:t>
      </w:r>
      <w:r>
        <w:t xml:space="preserve"> </w:t>
      </w:r>
      <w:r>
        <w:t xml:space="preserve">zones between Populus trichocarpa and Populus balsamifera</w:t>
      </w:r>
      <w:r>
        <w:t xml:space="preserve"> </w:t>
      </w:r>
      <w:hyperlink w:anchor="fig-1">
        <w:r>
          <w:rPr>
            <w:rStyle w:val="Hyperlink"/>
          </w:rPr>
          <w:t xml:space="preserve">Figure 1</w:t>
        </w:r>
      </w:hyperlink>
      <w:r>
        <w:t xml:space="preserve">. Short</w:t>
      </w:r>
      <w:r>
        <w:t xml:space="preserve"> </w:t>
      </w:r>
      <w:r>
        <w:t xml:space="preserve">read whole genome sequencing and subsequent bioinformatic analyses were</w:t>
      </w:r>
      <w:r>
        <w:t xml:space="preserve"> </w:t>
      </w:r>
      <w:r>
        <w:t xml:space="preserve">performed as described in Bolte et al. (2024). Briefly, Genomic DNA</w:t>
      </w:r>
      <w:r>
        <w:t xml:space="preserve"> </w:t>
      </w:r>
      <w:r>
        <w:t xml:space="preserve">libraries for all sampled individuals were constructed at the Duke</w:t>
      </w:r>
      <w:r>
        <w:t xml:space="preserve"> </w:t>
      </w:r>
      <w:r>
        <w:t xml:space="preserve">University Center for Genomic and Computational Biology and sequenced</w:t>
      </w:r>
      <w:r>
        <w:t xml:space="preserve"> </w:t>
      </w:r>
      <w:r>
        <w:t xml:space="preserve">using an Illumina NovaSeq 6000 instrument with an S4 flow cell with 64</w:t>
      </w:r>
      <w:r>
        <w:t xml:space="preserve"> </w:t>
      </w:r>
      <w:r>
        <w:t xml:space="preserve">samples per lane (Illumina Inc., San Diego, USA). De-indexing, QC,</w:t>
      </w:r>
      <w:r>
        <w:t xml:space="preserve"> </w:t>
      </w:r>
      <w:r>
        <w:t xml:space="preserve">trimming adapter sequences, and sequence pre-processing were completed</w:t>
      </w:r>
      <w:r>
        <w:t xml:space="preserve"> </w:t>
      </w:r>
      <w:r>
        <w:t xml:space="preserve">by the sequencing facility. In addition to short read sequencing, we</w:t>
      </w:r>
      <w:r>
        <w:t xml:space="preserve"> </w:t>
      </w:r>
      <w:r>
        <w:t xml:space="preserve">also sequenced a subset of 40 sampled individuals with PacBio HiFi long</w:t>
      </w:r>
      <w:r>
        <w:t xml:space="preserve"> </w:t>
      </w:r>
      <w:r>
        <w:t xml:space="preserve">reads. We harvested tissue from newly-expanded leaves grown under low</w:t>
      </w:r>
      <w:r>
        <w:t xml:space="preserve"> </w:t>
      </w:r>
      <w:r>
        <w:t xml:space="preserve">light conditions to use for high molecular weight DNA extraction. After</w:t>
      </w:r>
      <w:r>
        <w:t xml:space="preserve"> </w:t>
      </w:r>
      <w:r>
        <w:t xml:space="preserve">confirming extraction quality through gel electrophoresis and</w:t>
      </w:r>
      <w:r>
        <w:t xml:space="preserve"> </w:t>
      </w:r>
      <w:r>
        <w:t xml:space="preserve">bioanalysis, we submitted HMW DNA to the University of Maryland Center</w:t>
      </w:r>
      <w:r>
        <w:t xml:space="preserve"> </w:t>
      </w:r>
      <w:r>
        <w:t xml:space="preserve">for Integrative Biosciences Genomics Core Facility for library</w:t>
      </w:r>
      <w:r>
        <w:t xml:space="preserve"> </w:t>
      </w:r>
      <w:r>
        <w:t xml:space="preserve">preparation and sequencing on the the PacBio Sequel system with two</w:t>
      </w:r>
      <w:r>
        <w:t xml:space="preserve"> </w:t>
      </w:r>
      <w:r>
        <w:t xml:space="preserve">samples per SMRT flow cell. We sequenced one</w:t>
      </w:r>
      <w:r>
        <w:t xml:space="preserve"> </w:t>
      </w:r>
      <w:r>
        <w:rPr>
          <w:i/>
          <w:iCs/>
        </w:rPr>
        <w:t xml:space="preserve">P. balsamifera</w:t>
      </w:r>
      <w:r>
        <w:t xml:space="preserve"> </w:t>
      </w:r>
      <w:r>
        <w:t xml:space="preserve">sample</w:t>
      </w:r>
      <w:r>
        <w:t xml:space="preserve"> </w:t>
      </w:r>
      <w:r>
        <w:t xml:space="preserve">(939) for an additional run on a full SMRT cell. We also sequenced this</w:t>
      </w:r>
      <w:r>
        <w:t xml:space="preserve"> </w:t>
      </w:r>
      <w:r>
        <w:t xml:space="preserve">individual with Oxford Nanopore Technology (ONT) platform. We submitted</w:t>
      </w:r>
      <w:r>
        <w:t xml:space="preserve"> </w:t>
      </w:r>
      <w:r>
        <w:t xml:space="preserve">high molecular weight DNA to the Vermont Integrative Genomics Resource</w:t>
      </w:r>
      <w:r>
        <w:t xml:space="preserve"> </w:t>
      </w:r>
      <w:r>
        <w:t xml:space="preserve">Sequencing Center for library preparation and sequencing on XXX flowcell</w:t>
      </w:r>
      <w:r>
        <w:t xml:space="preserve"> </w:t>
      </w:r>
      <w:r>
        <w:t xml:space="preserve">(two runs) and XXX flowcell (one run)</w:t>
      </w:r>
    </w:p>
    <w:bookmarkEnd w:id="21"/>
    <w:bookmarkStart w:id="22" w:name="genome-assembly"/>
    <w:p>
      <w:pPr>
        <w:pStyle w:val="Heading3"/>
      </w:pPr>
      <w:r>
        <w:t xml:space="preserve">0.2.2 Genome assembly</w:t>
      </w:r>
    </w:p>
    <w:p>
      <w:pPr>
        <w:pStyle w:val="FirstParagraph"/>
      </w:pPr>
      <w:r>
        <w:t xml:space="preserve">Of the 40 individuals sequenced with HiFi long reads, we selected 16 for</w:t>
      </w:r>
      <w:r>
        <w:t xml:space="preserve"> </w:t>
      </w:r>
      <w:r>
        <w:t xml:space="preserve">whole genome assembly</w:t>
      </w:r>
      <w:r>
        <w:t xml:space="preserve"> </w:t>
      </w:r>
      <w:hyperlink w:anchor="fig-1">
        <w:r>
          <w:rPr>
            <w:rStyle w:val="Hyperlink"/>
          </w:rPr>
          <w:t xml:space="preserve">Figure 1</w:t>
        </w:r>
      </w:hyperlink>
      <w:r>
        <w:t xml:space="preserve">. These samples ranged from 20 to 35x long</w:t>
      </w:r>
      <w:r>
        <w:t xml:space="preserve"> </w:t>
      </w:r>
      <w:r>
        <w:t xml:space="preserve">read coverage. We performed de-novo genome assembly of the HiFi reads</w:t>
      </w:r>
      <w:r>
        <w:t xml:space="preserve"> </w:t>
      </w:r>
      <w:r>
        <w:t xml:space="preserve">for these samples with HiCanu</w:t>
      </w:r>
      <w:r>
        <w:t xml:space="preserve"> </w:t>
      </w:r>
      <w:r>
        <w:t xml:space="preserve">(Nurk et al. 2020)</w:t>
      </w:r>
      <w:r>
        <w:t xml:space="preserve">. We set HiCanu</w:t>
      </w:r>
      <w:r>
        <w:t xml:space="preserve"> </w:t>
      </w:r>
      <w:r>
        <w:t xml:space="preserve">parameters as follows: gSize=</w:t>
      </w:r>
      <w:r>
        <w:t xml:space="preserve">“400m”</w:t>
      </w:r>
      <w:r>
        <w:t xml:space="preserve">, lc=</w:t>
      </w:r>
      <w:r>
        <w:t xml:space="preserve">“5”</w:t>
      </w:r>
      <w:r>
        <w:t xml:space="preserve">, lcer=</w:t>
      </w:r>
      <w:r>
        <w:t xml:space="preserve">“0.055”</w:t>
      </w:r>
      <w:r>
        <w:t xml:space="preserve">, ovrlp=</w:t>
      </w:r>
      <w:r>
        <w:t xml:space="preserve">“350”</w:t>
      </w:r>
      <w:r>
        <w:t xml:space="preserve">,</w:t>
      </w:r>
      <w:r>
        <w:t xml:space="preserve"> </w:t>
      </w:r>
      <w:r>
        <w:t xml:space="preserve">mincov=</w:t>
      </w:r>
      <w:r>
        <w:t xml:space="preserve">“9”</w:t>
      </w:r>
      <w:r>
        <w:t xml:space="preserve">. To detect potential contaminants in the raw assemblies</w:t>
      </w:r>
      <w:r>
        <w:t xml:space="preserve"> </w:t>
      </w:r>
      <w:r>
        <w:t xml:space="preserve">produced by HiCanu, we used the program Kraken2 to compare the k-mer</w:t>
      </w:r>
      <w:r>
        <w:t xml:space="preserve"> </w:t>
      </w:r>
      <w:r>
        <w:t xml:space="preserve">content of assembled contigs to the</w:t>
      </w:r>
      <w:r>
        <w:t xml:space="preserve"> </w:t>
      </w:r>
      <w:r>
        <w:t xml:space="preserve">“PlusPFP”</w:t>
      </w:r>
      <w:r>
        <w:t xml:space="preserve"> </w:t>
      </w:r>
      <w:r>
        <w:t xml:space="preserve">database of known</w:t>
      </w:r>
      <w:r>
        <w:t xml:space="preserve"> </w:t>
      </w:r>
      <w:r>
        <w:t xml:space="preserve">taxon-specific k-mers representing archaea, bacteria, viral, human,</w:t>
      </w:r>
      <w:r>
        <w:t xml:space="preserve"> </w:t>
      </w:r>
      <w:r>
        <w:t xml:space="preserve">protozoa, fungi and plant taxa</w:t>
      </w:r>
      <w:r>
        <w:t xml:space="preserve"> </w:t>
      </w:r>
      <w:r>
        <w:t xml:space="preserve">(Lu et al. 2022)</w:t>
      </w:r>
      <w:r>
        <w:t xml:space="preserve">. We then used a custom bioawk</w:t>
      </w:r>
      <w:r>
        <w:t xml:space="preserve"> </w:t>
      </w:r>
      <w:r>
        <w:t xml:space="preserve">script to remove any assembled contig that Kraken2 assigned to a</w:t>
      </w:r>
      <w:r>
        <w:t xml:space="preserve"> </w:t>
      </w:r>
      <w:r>
        <w:t xml:space="preserve">taxonomic unit other than</w:t>
      </w:r>
      <w:r>
        <w:t xml:space="preserve"> </w:t>
      </w:r>
      <w:r>
        <w:rPr>
          <w:i/>
          <w:iCs/>
        </w:rPr>
        <w:t xml:space="preserve">Populus</w:t>
      </w:r>
      <w:r>
        <w:t xml:space="preserve">, leaving only unassigned or</w:t>
      </w:r>
      <w:r>
        <w:t xml:space="preserve"> </w:t>
      </w:r>
      <w:r>
        <w:rPr>
          <w:i/>
          <w:iCs/>
        </w:rPr>
        <w:t xml:space="preserve">Populus</w:t>
      </w:r>
      <w:r>
        <w:t xml:space="preserve">- assigned contigs in each assembly. We assessed the accuracy</w:t>
      </w:r>
      <w:r>
        <w:t xml:space="preserve"> </w:t>
      </w:r>
      <w:r>
        <w:t xml:space="preserve">and completeness of the decontaminated assemblies using QUAST and BUSCO</w:t>
      </w:r>
      <w:r>
        <w:t xml:space="preserve"> </w:t>
      </w:r>
      <w:r>
        <w:t xml:space="preserve">(Gurevich et al. 2013; Simão et al. 2015)</w:t>
      </w:r>
      <w:r>
        <w:t xml:space="preserve">. To further assess the contiguity</w:t>
      </w:r>
      <w:r>
        <w:t xml:space="preserve"> </w:t>
      </w:r>
      <w:r>
        <w:t xml:space="preserve">and quality of these assemblies, we used minimap2 and BWA to map the</w:t>
      </w:r>
      <w:r>
        <w:t xml:space="preserve"> </w:t>
      </w:r>
      <w:r>
        <w:t xml:space="preserve">original HiFi reads and additional Illumina short reads back to each</w:t>
      </w:r>
      <w:r>
        <w:t xml:space="preserve"> </w:t>
      </w:r>
      <w:r>
        <w:t xml:space="preserve">assembled haplotype</w:t>
      </w:r>
      <w:r>
        <w:t xml:space="preserve"> </w:t>
      </w:r>
      <w:r>
        <w:t xml:space="preserve">(H. Li 2018; H. Li and Durbin 2010)</w:t>
      </w:r>
      <w:r>
        <w:t xml:space="preserve">. We passed these</w:t>
      </w:r>
      <w:r>
        <w:t xml:space="preserve"> </w:t>
      </w:r>
      <w:r>
        <w:t xml:space="preserve">alignments to the program CRAQ</w:t>
      </w:r>
      <w:r>
        <w:t xml:space="preserve"> </w:t>
      </w:r>
      <w:r>
        <w:t xml:space="preserve">(K. Li et al. 2023)</w:t>
      </w:r>
      <w:r>
        <w:t xml:space="preserve">, which leverages</w:t>
      </w:r>
      <w:r>
        <w:t xml:space="preserve"> </w:t>
      </w:r>
      <w:r>
        <w:t xml:space="preserve">read depth along assembled contigs for quality assessment. We repeated</w:t>
      </w:r>
      <w:r>
        <w:t xml:space="preserve"> </w:t>
      </w:r>
      <w:r>
        <w:t xml:space="preserve">these quality assessment checks at each subsequent stage of genome</w:t>
      </w:r>
      <w:r>
        <w:t xml:space="preserve"> </w:t>
      </w:r>
      <w:r>
        <w:t xml:space="preserve">assembly. Phasing, or the separation and concatenation of contigs</w:t>
      </w:r>
      <w:r>
        <w:t xml:space="preserve"> </w:t>
      </w:r>
      <w:r>
        <w:t xml:space="preserve">belonging to the same parental haplotype is a key step in genome</w:t>
      </w:r>
      <w:r>
        <w:t xml:space="preserve"> </w:t>
      </w:r>
      <w:r>
        <w:t xml:space="preserve">assembly for hybrid individuals, as divergent haplotypes likely contain</w:t>
      </w:r>
      <w:r>
        <w:t xml:space="preserve"> </w:t>
      </w:r>
      <w:r>
        <w:t xml:space="preserve">important genetic information. We used mininmap2 to map reads back to</w:t>
      </w:r>
      <w:r>
        <w:t xml:space="preserve"> </w:t>
      </w:r>
      <w:r>
        <w:t xml:space="preserve">assembled contigs and to map assembled contigs to themselves. We then</w:t>
      </w:r>
      <w:r>
        <w:t xml:space="preserve"> </w:t>
      </w:r>
      <w:r>
        <w:t xml:space="preserve">used the purge haplotigs pipeline (Roach et al., 2018) to split diploid</w:t>
      </w:r>
      <w:r>
        <w:t xml:space="preserve"> </w:t>
      </w:r>
      <w:r>
        <w:t xml:space="preserve">assemblies into two assembled haploytpes for each individual. We used</w:t>
      </w:r>
      <w:r>
        <w:t xml:space="preserve"> </w:t>
      </w:r>
      <w:r>
        <w:t xml:space="preserve">RagTag (Alonge et al. 2022) to connect decontaminated, phased contigs</w:t>
      </w:r>
      <w:r>
        <w:t xml:space="preserve"> </w:t>
      </w:r>
      <w:r>
        <w:t xml:space="preserve">into pseudo-chromosomal scaffolds, guided by alignments of assembled</w:t>
      </w:r>
      <w:r>
        <w:t xml:space="preserve"> </w:t>
      </w:r>
      <w:r>
        <w:t xml:space="preserve">contigs to the Nisqually1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 </w:t>
      </w:r>
      <w:r>
        <w:t xml:space="preserve">reference genome. We visually</w:t>
      </w:r>
      <w:r>
        <w:t xml:space="preserve"> </w:t>
      </w:r>
      <w:r>
        <w:t xml:space="preserve">inspected minimap2 alignments of scaffolded assemblies to the reference</w:t>
      </w:r>
      <w:r>
        <w:t xml:space="preserve"> </w:t>
      </w:r>
      <w:r>
        <w:t xml:space="preserve">genome to identify potential scaffolding errors. We used RepeatMasker to</w:t>
      </w:r>
      <w:r>
        <w:t xml:space="preserve"> </w:t>
      </w:r>
      <w:r>
        <w:t xml:space="preserve">annotate and mask repetitive regions and annotated possible coding</w:t>
      </w:r>
      <w:r>
        <w:t xml:space="preserve"> </w:t>
      </w:r>
      <w:r>
        <w:t xml:space="preserve">domains and predicted protein sequences for each assembly with AUGUSTUS</w:t>
      </w:r>
      <w:r>
        <w:t xml:space="preserve"> </w:t>
      </w:r>
      <w:r>
        <w:t xml:space="preserve">(Smit et al., 2015; Hoff et al., 2019).</w:t>
      </w:r>
    </w:p>
    <w:bookmarkEnd w:id="22"/>
    <w:bookmarkStart w:id="23" w:name="pan-genome-assembly"/>
    <w:p>
      <w:pPr>
        <w:pStyle w:val="Heading3"/>
      </w:pPr>
      <w:r>
        <w:t xml:space="preserve">0.2.3 Pan-genome assembly</w:t>
      </w:r>
    </w:p>
    <w:p>
      <w:pPr>
        <w:pStyle w:val="FirstParagraph"/>
      </w:pPr>
      <w:r>
        <w:t xml:space="preserve">In a pan-genome graph, a non-redundant collection of all input sequences</w:t>
      </w:r>
      <w:r>
        <w:t xml:space="preserve"> </w:t>
      </w:r>
      <w:r>
        <w:t xml:space="preserve">is represented as</w:t>
      </w:r>
      <w:r>
        <w:t xml:space="preserve"> </w:t>
      </w:r>
      <w:r>
        <w:t xml:space="preserve">“nodes”</w:t>
      </w:r>
      <w:r>
        <w:t xml:space="preserve">, while the linear sequence of each input</w:t>
      </w:r>
      <w:r>
        <w:t xml:space="preserve"> </w:t>
      </w:r>
      <w:r>
        <w:t xml:space="preserve">genome is stored as a</w:t>
      </w:r>
      <w:r>
        <w:t xml:space="preserve"> </w:t>
      </w:r>
      <w:r>
        <w:t xml:space="preserve">“path”</w:t>
      </w:r>
      <w:r>
        <w:t xml:space="preserve"> </w:t>
      </w:r>
      <w:r>
        <w:t xml:space="preserve">connecting a series of nodes. In this</w:t>
      </w:r>
      <w:r>
        <w:t xml:space="preserve"> </w:t>
      </w:r>
      <w:r>
        <w:t xml:space="preserve">approach to graph construction, each node of the graph w describes the</w:t>
      </w:r>
      <w:r>
        <w:t xml:space="preserve"> </w:t>
      </w:r>
      <w:r>
        <w:t xml:space="preserve">alignment between at least two sequences, given an expected level of</w:t>
      </w:r>
      <w:r>
        <w:t xml:space="preserve"> </w:t>
      </w:r>
      <w:r>
        <w:t xml:space="preserve">sequence divergence. We constructed a pan-genome graph from an all-by</w:t>
      </w:r>
      <w:r>
        <w:t xml:space="preserve"> </w:t>
      </w:r>
      <w:r>
        <w:t xml:space="preserve">all alignment of the 24 assembled haplotypes. Any contigs shorter than</w:t>
      </w:r>
      <w:r>
        <w:t xml:space="preserve"> </w:t>
      </w:r>
      <w:r>
        <w:t xml:space="preserve">100kb were dropped before alignment. We used wfmash (Guarracino et al.,</w:t>
      </w:r>
      <w:r>
        <w:t xml:space="preserve"> </w:t>
      </w:r>
      <w:r>
        <w:t xml:space="preserve">2021) to perform all-by-all alignments between assembled chromosomes,</w:t>
      </w:r>
      <w:r>
        <w:t xml:space="preserve"> </w:t>
      </w:r>
      <w:r>
        <w:t xml:space="preserve">and seqwish (Garrison and Guarracino, 2022) to project alignments into a</w:t>
      </w:r>
      <w:r>
        <w:t xml:space="preserve"> </w:t>
      </w:r>
      <w:r>
        <w:t xml:space="preserve">graph pan-genome assembly. Pan-genome graphs constructed this way can</w:t>
      </w:r>
      <w:r>
        <w:t xml:space="preserve"> </w:t>
      </w:r>
      <w:r>
        <w:t xml:space="preserve">have highly complex topography, which may hinder downstream applications</w:t>
      </w:r>
      <w:r>
        <w:t xml:space="preserve"> </w:t>
      </w:r>
      <w:r>
        <w:t xml:space="preserve">such a sequence alignment. To combat this issue, we used the program</w:t>
      </w:r>
      <w:r>
        <w:t xml:space="preserve"> </w:t>
      </w:r>
      <w:r>
        <w:t xml:space="preserve">smoothXG to smooth complex variation in these graphs. We also assembled</w:t>
      </w:r>
      <w:r>
        <w:t xml:space="preserve"> </w:t>
      </w:r>
      <w:r>
        <w:t xml:space="preserve">a separate graph specifically for subsequent alignment-based analyses</w:t>
      </w:r>
      <w:r>
        <w:t xml:space="preserve"> </w:t>
      </w:r>
      <w:r>
        <w:t xml:space="preserve">using the minigraph-cactus pipeline</w:t>
      </w:r>
      <w:r>
        <w:t xml:space="preserve"> </w:t>
      </w:r>
      <w:r>
        <w:t xml:space="preserve">(Hickey et al. 2023)</w:t>
      </w:r>
      <w:r>
        <w:t xml:space="preserve">. We used the program</w:t>
      </w:r>
      <w:r>
        <w:t xml:space="preserve"> </w:t>
      </w:r>
      <w:r>
        <w:t xml:space="preserve">panacus to asses pan-genome growth and coverage statistics</w:t>
      </w:r>
      <w:r>
        <w:t xml:space="preserve"> </w:t>
      </w:r>
      <w:r>
        <w:t xml:space="preserve">(Parmigiani et al. 2024)</w:t>
      </w:r>
      <w:r>
        <w:t xml:space="preserve">. We used the program ODGI (Guarracino et al., 2022) to</w:t>
      </w:r>
      <w:r>
        <w:t xml:space="preserve"> </w:t>
      </w:r>
      <w:r>
        <w:t xml:space="preserve">perform basic graph quality control and to partition the core ( sequence</w:t>
      </w:r>
      <w:r>
        <w:t xml:space="preserve"> </w:t>
      </w:r>
      <w:r>
        <w:t xml:space="preserve">present in all individuals), shell (sequence variably present or absent</w:t>
      </w:r>
      <w:r>
        <w:t xml:space="preserve"> </w:t>
      </w:r>
      <w:r>
        <w:t xml:space="preserve">across individuals) and singleton sequence (present in only one</w:t>
      </w:r>
      <w:r>
        <w:t xml:space="preserve"> </w:t>
      </w:r>
      <w:r>
        <w:t xml:space="preserve">individuals) content for each graph and individual represented in the</w:t>
      </w:r>
      <w:r>
        <w:t xml:space="preserve"> </w:t>
      </w:r>
      <w:r>
        <w:t xml:space="preserve">graphs. We used the program vg</w:t>
      </w:r>
      <w:r>
        <w:t xml:space="preserve"> </w:t>
      </w:r>
      <w:r>
        <w:t xml:space="preserve">(Garrison et al. 2018)</w:t>
      </w:r>
      <w:r>
        <w:t xml:space="preserve"> </w:t>
      </w:r>
      <w:r>
        <w:t xml:space="preserve">to deconstruct each graph</w:t>
      </w:r>
      <w:r>
        <w:t xml:space="preserve"> </w:t>
      </w:r>
      <w:r>
        <w:t xml:space="preserve">assembly into a VCF containing the variation encapsulated in each graph.</w:t>
      </w:r>
      <w:r>
        <w:t xml:space="preserve"> </w:t>
      </w:r>
      <w:r>
        <w:t xml:space="preserve">We passed this deconstructed VCF file to vcfbub</w:t>
      </w:r>
      <w:r>
        <w:t xml:space="preserve"> </w:t>
      </w:r>
      <w:r>
        <w:t xml:space="preserve">(github.com/pangenome/vcfbub) to collapse nested SV sites into the</w:t>
      </w:r>
      <w:r>
        <w:t xml:space="preserve"> </w:t>
      </w:r>
      <w:r>
        <w:t xml:space="preserve">top-level variant for all SV less than 10kb in length. Using bcftools</w:t>
      </w:r>
      <w:r>
        <w:t xml:space="preserve"> </w:t>
      </w:r>
      <w:r>
        <w:t xml:space="preserve">(Danecek et al. 2021)</w:t>
      </w:r>
      <w:r>
        <w:t xml:space="preserve"> </w:t>
      </w:r>
      <w:r>
        <w:t xml:space="preserve">we split biallelic sites into multiallelic records for</w:t>
      </w:r>
      <w:r>
        <w:t xml:space="preserve"> </w:t>
      </w:r>
      <w:r>
        <w:t xml:space="preserve">this deconstructed vcf.</w:t>
      </w:r>
    </w:p>
    <w:bookmarkEnd w:id="23"/>
    <w:bookmarkStart w:id="24" w:name="genotyping-pan-genomic-variation"/>
    <w:p>
      <w:pPr>
        <w:pStyle w:val="Heading3"/>
      </w:pPr>
      <w:r>
        <w:t xml:space="preserve">0.2.4 Genotyping Pan-genomic Variation</w:t>
      </w:r>
    </w:p>
    <w:p>
      <w:pPr>
        <w:pStyle w:val="FirstParagraph"/>
      </w:pPr>
      <w:r>
        <w:t xml:space="preserve">We aligned sequencing reads from additional samples to pan-genome graph</w:t>
      </w:r>
      <w:r>
        <w:t xml:space="preserve"> </w:t>
      </w:r>
      <w:r>
        <w:t xml:space="preserve">assembly to genotype SNPs and SVs. We aligned PacBio HiFi reads for 40</w:t>
      </w:r>
      <w:r>
        <w:t xml:space="preserve"> </w:t>
      </w:r>
      <w:r>
        <w:t xml:space="preserve">total individuals (including the 16 used to construct the pan-genome</w:t>
      </w:r>
      <w:r>
        <w:t xml:space="preserve"> </w:t>
      </w:r>
      <w:r>
        <w:t xml:space="preserve">graph) to the minigraph-cactus graph using the program GraphAligner</w:t>
      </w:r>
      <w:r>
        <w:t xml:space="preserve"> </w:t>
      </w:r>
      <w:r>
        <w:t xml:space="preserve">(Rautiainen and Marschall 2020)</w:t>
      </w:r>
      <w:r>
        <w:t xml:space="preserve">. To characterize sequence variation across a broader</w:t>
      </w:r>
      <w:r>
        <w:t xml:space="preserve"> </w:t>
      </w:r>
      <w:r>
        <w:t xml:space="preserve">set of individuals, we also mapped Illumina short reads for 575</w:t>
      </w:r>
      <w:r>
        <w:t xml:space="preserve"> </w:t>
      </w:r>
      <w:r>
        <w:t xml:space="preserve">individuals to the pan-genome graph using the program giraffe</w:t>
      </w:r>
      <w:r>
        <w:t xml:space="preserve"> </w:t>
      </w:r>
      <w:r>
        <w:t xml:space="preserve">(Sirén et al. 2021)</w:t>
      </w:r>
      <w:r>
        <w:t xml:space="preserve">. We then called SV and SNPs from these alignments using the</w:t>
      </w:r>
      <w:r>
        <w:t xml:space="preserve"> </w:t>
      </w:r>
      <w:r>
        <w:t xml:space="preserve">vg call algorithm</w:t>
      </w:r>
      <w:r>
        <w:t xml:space="preserve"> </w:t>
      </w:r>
      <w:r>
        <w:t xml:space="preserve">(Garrison et al. 2018)</w:t>
      </w:r>
      <w:r>
        <w:t xml:space="preserve">. We used bcftools to split</w:t>
      </w:r>
      <w:r>
        <w:t xml:space="preserve"> </w:t>
      </w:r>
      <w:r>
        <w:t xml:space="preserve">multialleleic calls into separate records, normalize alleles against the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 </w:t>
      </w:r>
      <w:r>
        <w:t xml:space="preserve">reference and merge calls for all samples into one VCF</w:t>
      </w:r>
      <w:r>
        <w:t xml:space="preserve"> </w:t>
      </w:r>
      <w:r>
        <w:t xml:space="preserve">representing SV and SNP genotypes in the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 </w:t>
      </w:r>
      <w:r>
        <w:t xml:space="preserve">reference</w:t>
      </w:r>
      <w:r>
        <w:t xml:space="preserve"> </w:t>
      </w:r>
      <w:r>
        <w:t xml:space="preserve">coordinate space.</w:t>
      </w:r>
    </w:p>
    <w:bookmarkEnd w:id="24"/>
    <w:bookmarkStart w:id="25" w:name="Xd24ae3a90c5f0d39b4ec4490456cac280092f73"/>
    <w:p>
      <w:pPr>
        <w:pStyle w:val="Heading3"/>
      </w:pPr>
      <w:r>
        <w:t xml:space="preserve">0.2.5 Analysis of Structural Variation and Introgression</w:t>
      </w:r>
    </w:p>
    <w:p>
      <w:pPr>
        <w:pStyle w:val="FirstParagraph"/>
      </w:pPr>
      <w:r>
        <w:t xml:space="preserve">We used ADMIXTURE results from Bolte et al (2024) to assign each</w:t>
      </w:r>
      <w:r>
        <w:t xml:space="preserve"> </w:t>
      </w:r>
      <w:r>
        <w:t xml:space="preserve">individual an admixture proportion at K=2 and K=4. The genetic data used</w:t>
      </w:r>
      <w:r>
        <w:t xml:space="preserve"> </w:t>
      </w:r>
      <w:r>
        <w:t xml:space="preserve">for this ADMIXTURE analysis came from SNP calls from mappings of the</w:t>
      </w:r>
      <w:r>
        <w:t xml:space="preserve"> </w:t>
      </w:r>
      <w:r>
        <w:t xml:space="preserve">same illlumina reads used in this study, however they were mapped to the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 </w:t>
      </w:r>
      <w:r>
        <w:t xml:space="preserve">reference genome. We used this same genetic data set to</w:t>
      </w:r>
      <w:r>
        <w:t xml:space="preserve"> </w:t>
      </w:r>
      <w:r>
        <w:t xml:space="preserve">perform local ancestry inference (LAI) using LOTR</w:t>
      </w:r>
      <w:r>
        <w:t xml:space="preserve"> </w:t>
      </w:r>
      <w:r>
        <w:t xml:space="preserve">(Dias-Alves, Mairal, and Blum 2018)</w:t>
      </w:r>
      <w:r>
        <w:t xml:space="preserve">.</w:t>
      </w:r>
      <w:r>
        <w:t xml:space="preserve"> </w:t>
      </w:r>
      <w:r>
        <w:t xml:space="preserve">These ADMIXTURE and LAI data sets were used to visualize and analyze</w:t>
      </w:r>
      <w:r>
        <w:t xml:space="preserve"> </w:t>
      </w:r>
      <w:r>
        <w:t xml:space="preserve">patterns of local and global genomic ancestry throughout this study.</w:t>
      </w:r>
    </w:p>
    <w:p>
      <w:pPr>
        <w:pStyle w:val="BodyText"/>
      </w:pPr>
      <w:r>
        <w:t xml:space="preserve">We used ODGI to flatten the Nisqually1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 </w:t>
      </w:r>
      <w:r>
        <w:t xml:space="preserve">reference genome</w:t>
      </w:r>
      <w:r>
        <w:t xml:space="preserve"> </w:t>
      </w:r>
      <w:r>
        <w:t xml:space="preserve">path in the cactus graph. We then used a bed file representation of this</w:t>
      </w:r>
      <w:r>
        <w:t xml:space="preserve"> </w:t>
      </w:r>
      <w:r>
        <w:t xml:space="preserve">path and reference gene annotations to genotype PAV of reference</w:t>
      </w:r>
      <w:r>
        <w:t xml:space="preserve"> </w:t>
      </w:r>
      <w:r>
        <w:t xml:space="preserve">sequence across all paths of the cactus graph. We used R version 4.1.0</w:t>
      </w:r>
      <w:r>
        <w:t xml:space="preserve"> </w:t>
      </w:r>
      <w:r>
        <w:t xml:space="preserve">to identify core and shell gene sequences from this data and to perform</w:t>
      </w:r>
      <w:r>
        <w:t xml:space="preserve"> </w:t>
      </w:r>
      <w:r>
        <w:t xml:space="preserve">PCA on the PAV genotypes</w:t>
      </w:r>
      <w:r>
        <w:t xml:space="preserve"> </w:t>
      </w:r>
      <w:r>
        <w:t xml:space="preserve">(R Core Team 2024)</w:t>
      </w:r>
      <w:r>
        <w:t xml:space="preserve">. We also ran a similar PAV PCA with the</w:t>
      </w:r>
      <w:r>
        <w:t xml:space="preserve"> </w:t>
      </w:r>
      <w:r>
        <w:t xml:space="preserve">merged vcf representing all 575 sequenced samples in this study, using</w:t>
      </w:r>
      <w:r>
        <w:t xml:space="preserve"> </w:t>
      </w:r>
      <w:r>
        <w:t xml:space="preserve">plink2</w:t>
      </w:r>
      <w:r>
        <w:t xml:space="preserve"> </w:t>
      </w:r>
      <w:r>
        <w:t xml:space="preserve">(Chang et al. 2015)</w:t>
      </w:r>
      <w:r>
        <w:t xml:space="preserve">. We used the -–allele-weights flag to extract</w:t>
      </w:r>
      <w:r>
        <w:t xml:space="preserve"> </w:t>
      </w:r>
      <w:r>
        <w:t xml:space="preserve">the loading of each allele for each SV on the first 3 principal</w:t>
      </w:r>
      <w:r>
        <w:t xml:space="preserve"> </w:t>
      </w:r>
      <w:r>
        <w:t xml:space="preserve">components.</w:t>
      </w:r>
    </w:p>
    <w:p>
      <w:pPr>
        <w:pStyle w:val="BodyText"/>
      </w:pPr>
      <w:r>
        <w:t xml:space="preserve">To find SV potentially involved in introgression, we employed custom</w:t>
      </w:r>
      <w:r>
        <w:t xml:space="preserve"> </w:t>
      </w:r>
      <w:r>
        <w:t xml:space="preserve">scripts to identify ancestry blocks along the chromosomes of all 335</w:t>
      </w:r>
      <w:r>
        <w:t xml:space="preserve"> </w:t>
      </w:r>
      <w:r>
        <w:t xml:space="preserve">admixed individuals in this study. An individual was considered admixed</w:t>
      </w:r>
      <w:r>
        <w:t xml:space="preserve"> </w:t>
      </w:r>
      <w:r>
        <w:t xml:space="preserve">if its k=2 ADMIXTURE score indicated at least 5 percent admixture</w:t>
      </w:r>
      <w:r>
        <w:t xml:space="preserve"> </w:t>
      </w:r>
      <w:r>
        <w:t xml:space="preserve">genome-wide. We used Bedtools</w:t>
      </w:r>
      <w:r>
        <w:t xml:space="preserve"> </w:t>
      </w:r>
      <w:r>
        <w:t xml:space="preserve">(Quinlan and Hall 2010)</w:t>
      </w:r>
      <w:r>
        <w:t xml:space="preserve"> </w:t>
      </w:r>
      <w:r>
        <w:t xml:space="preserve">to find SV that</w:t>
      </w:r>
      <w:r>
        <w:t xml:space="preserve"> </w:t>
      </w:r>
      <w:r>
        <w:t xml:space="preserve">overlapped ancestry blocks in each admixed individual. We then scored</w:t>
      </w:r>
      <w:r>
        <w:t xml:space="preserve"> </w:t>
      </w:r>
      <w:r>
        <w:t xml:space="preserve">each SV allele based on its prevalence in ancestry blocks that</w:t>
      </w:r>
      <w:r>
        <w:t xml:space="preserve"> </w:t>
      </w:r>
      <w:r>
        <w:t xml:space="preserve">contrasted the average global ancestry of an individual.</w:t>
      </w:r>
    </w:p>
    <w:p>
      <w:pPr>
        <w:pStyle w:val="BodyText"/>
      </w:pPr>
      <w:r>
        <w:t xml:space="preserve">For all SV that were outliers in principal component or LAI analyses, we</w:t>
      </w:r>
      <w:r>
        <w:t xml:space="preserve"> </w:t>
      </w:r>
      <w:r>
        <w:t xml:space="preserve">used Bedtools to check for overlap with annotated genes. We then used</w:t>
      </w:r>
      <w:r>
        <w:t xml:space="preserve"> </w:t>
      </w:r>
      <w:r>
        <w:t xml:space="preserve">plantgenie to analyze PFAM enrichment of gene sets</w:t>
      </w:r>
      <w:r>
        <w:t xml:space="preserve"> </w:t>
      </w:r>
      <w:r>
        <w:t xml:space="preserve">(Sundell et al. 2015)</w:t>
      </w:r>
      <w:r>
        <w:t xml:space="preserve">.</w:t>
      </w:r>
    </w:p>
    <w:bookmarkEnd w:id="25"/>
    <w:bookmarkEnd w:id="26"/>
    <w:bookmarkStart w:id="35" w:name="results"/>
    <w:p>
      <w:pPr>
        <w:pStyle w:val="Heading2"/>
      </w:pPr>
      <w:r>
        <w:t xml:space="preserve">0.3 Results</w:t>
      </w:r>
    </w:p>
    <w:bookmarkStart w:id="27" w:name="whole-genome-sequencing-and-assembly."/>
    <w:p>
      <w:pPr>
        <w:pStyle w:val="Heading3"/>
      </w:pPr>
      <w:r>
        <w:t xml:space="preserve">0.3.1 Whole genome sequencing and assembly.</w:t>
      </w:r>
    </w:p>
    <w:p>
      <w:pPr>
        <w:pStyle w:val="FirstParagraph"/>
      </w:pPr>
      <w:r>
        <w:t xml:space="preserve">Illumina sequencing yielded on average of 8358 MB of sequence,</w:t>
      </w:r>
      <w:r>
        <w:t xml:space="preserve"> </w:t>
      </w:r>
      <w:r>
        <w:t xml:space="preserve">corresponding to an average sequencing depth of 21x. PacBio HiFi</w:t>
      </w:r>
      <w:r>
        <w:t xml:space="preserve"> </w:t>
      </w:r>
      <w:r>
        <w:t xml:space="preserve">sequencing yielded on average 6368 MB of sequence, corresponding to an</w:t>
      </w:r>
      <w:r>
        <w:t xml:space="preserve"> </w:t>
      </w:r>
      <w:r>
        <w:t xml:space="preserve">average sequencing depth of 16x. Sample 939 was sequenced to a depth of</w:t>
      </w:r>
      <w:r>
        <w:t xml:space="preserve"> </w:t>
      </w:r>
      <w:r>
        <w:t xml:space="preserve">roughly 60X HiFi and roughly 20X ONT reads. Table 1 shows summary</w:t>
      </w:r>
      <w:r>
        <w:t xml:space="preserve"> </w:t>
      </w:r>
      <w:r>
        <w:t xml:space="preserve">statistics for the 16 whole genome assemblies included in the</w:t>
      </w:r>
      <w:r>
        <w:t xml:space="preserve"> </w:t>
      </w:r>
      <w:r>
        <w:t xml:space="preserve">pan-genome. Assembly quality and contiguity were generally high, however</w:t>
      </w:r>
      <w:r>
        <w:t xml:space="preserve"> </w:t>
      </w:r>
      <w:r>
        <w:t xml:space="preserve">alternate haplotypes were not always fully assembled (Table 1).</w:t>
      </w:r>
    </w:p>
    <w:bookmarkEnd w:id="27"/>
    <w:bookmarkStart w:id="28" w:name="pan-genome-assembly-1"/>
    <w:p>
      <w:pPr>
        <w:pStyle w:val="Heading3"/>
      </w:pPr>
      <w:r>
        <w:t xml:space="preserve">0.3.2 Pan-genome assembly</w:t>
      </w:r>
    </w:p>
    <w:p>
      <w:pPr>
        <w:pStyle w:val="FirstParagraph"/>
      </w:pPr>
      <w:r>
        <w:t xml:space="preserve">The minigraph-cactus pangenome graph contained a total of 102,907,131</w:t>
      </w:r>
      <w:r>
        <w:t xml:space="preserve"> </w:t>
      </w:r>
      <w:r>
        <w:t xml:space="preserve">nodes comprising 1.2 Gbp of sequence. Of this, 243 Mbp was present</w:t>
      </w:r>
      <w:r>
        <w:t xml:space="preserve"> </w:t>
      </w:r>
      <w:r>
        <w:t xml:space="preserve">across all individuals (core genome), while 423Mbp was present in some</w:t>
      </w:r>
      <w:r>
        <w:t xml:space="preserve"> </w:t>
      </w:r>
      <w:r>
        <w:t xml:space="preserve">but not all individuals (shell genome). The remaining 537 Mbp</w:t>
      </w:r>
      <w:r>
        <w:t xml:space="preserve"> </w:t>
      </w:r>
      <w:r>
        <w:t xml:space="preserve">represented singleton sequence.</w:t>
      </w:r>
      <w:r>
        <w:t xml:space="preserve"> </w:t>
      </w:r>
      <w:hyperlink w:anchor="fig-2">
        <w:r>
          <w:rPr>
            <w:rStyle w:val="Hyperlink"/>
          </w:rPr>
          <w:t xml:space="preserve">Figure 2</w:t>
        </w:r>
      </w:hyperlink>
      <w:r>
        <w:t xml:space="preserve"> </w:t>
      </w:r>
      <w:r>
        <w:t xml:space="preserve">shows how the size of the</w:t>
      </w:r>
      <w:r>
        <w:t xml:space="preserve"> </w:t>
      </w:r>
      <w:r>
        <w:t xml:space="preserve">sequence classes changes as individuals are added to the pan-genome.</w:t>
      </w:r>
      <w:r>
        <w:t xml:space="preserve"> </w:t>
      </w:r>
      <w:hyperlink w:anchor="fig-3">
        <w:r>
          <w:rPr>
            <w:rStyle w:val="Hyperlink"/>
          </w:rPr>
          <w:t xml:space="preserve">Figure 3</w:t>
        </w:r>
      </w:hyperlink>
      <w:r>
        <w:t xml:space="preserve"> </w:t>
      </w:r>
      <w:r>
        <w:t xml:space="preserve">shows the proportions of core, shell and singleton sequence</w:t>
      </w:r>
      <w:r>
        <w:t xml:space="preserve"> </w:t>
      </w:r>
      <w:r>
        <w:t xml:space="preserve">within each sample.</w:t>
      </w:r>
      <w:r>
        <w:t xml:space="preserve"> </w:t>
      </w:r>
      <w:r>
        <w:rPr>
          <w:b/>
          <w:bCs/>
        </w:rPr>
        <w:t xml:space="preserve">?@fig-4</w:t>
      </w:r>
      <w:r>
        <w:t xml:space="preserve"> </w:t>
      </w:r>
      <w:r>
        <w:t xml:space="preserve">shows each genome in the pan-genome graph</w:t>
      </w:r>
      <w:r>
        <w:t xml:space="preserve"> </w:t>
      </w:r>
      <w:r>
        <w:t xml:space="preserve">plotted on the first two principal components of a PCA on PAV of</w:t>
      </w:r>
      <w:r>
        <w:t xml:space="preserve"> </w:t>
      </w:r>
      <w:r>
        <w:t xml:space="preserve">reference sequence.</w:t>
      </w:r>
    </w:p>
    <w:bookmarkEnd w:id="28"/>
    <w:bookmarkStart w:id="29" w:name="pan-genomic-variation"/>
    <w:p>
      <w:pPr>
        <w:pStyle w:val="Heading3"/>
      </w:pPr>
      <w:r>
        <w:t xml:space="preserve">0.3.3 Pan-genomic Variation</w:t>
      </w:r>
    </w:p>
    <w:p>
      <w:pPr>
        <w:pStyle w:val="FirstParagraph"/>
      </w:pPr>
      <w:r>
        <w:t xml:space="preserve">3708 annotated genes were variably present or absent across the 17</w:t>
      </w:r>
      <w:r>
        <w:t xml:space="preserve"> </w:t>
      </w:r>
      <w:r>
        <w:t xml:space="preserve">genomes used to construct the pan- =genome. These genes were</w:t>
      </w:r>
      <w:r>
        <w:t xml:space="preserve"> </w:t>
      </w:r>
      <w:r>
        <w:t xml:space="preserve">significantly enriched for various protein families including NB-ARC</w:t>
      </w:r>
      <w:r>
        <w:t xml:space="preserve"> </w:t>
      </w:r>
      <w:r>
        <w:t xml:space="preserve">domain, D-mannose binding lectin, sulfotransferases, cupins, and</w:t>
      </w:r>
      <w:r>
        <w:t xml:space="preserve"> </w:t>
      </w:r>
      <w:r>
        <w:t xml:space="preserve">Cytochrome P450. Of these shell genes, 167 were present in all of the</w:t>
      </w:r>
      <w:r>
        <w:t xml:space="preserve"> </w:t>
      </w:r>
      <w:r>
        <w:t xml:space="preserve">pure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 </w:t>
      </w:r>
      <w:r>
        <w:t xml:space="preserve">individuals and none of the pure</w:t>
      </w:r>
      <w:r>
        <w:t xml:space="preserve"> </w:t>
      </w:r>
      <w:r>
        <w:rPr>
          <w:i/>
          <w:iCs/>
        </w:rPr>
        <w:t xml:space="preserve">P. balsamifera</w:t>
      </w:r>
      <w:r>
        <w:t xml:space="preserve"> </w:t>
      </w:r>
      <w:r>
        <w:t xml:space="preserve">samples making up the pan-genome graph. These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 </w:t>
      </w:r>
      <w:r>
        <w:t xml:space="preserve">-</w:t>
      </w:r>
      <w:r>
        <w:t xml:space="preserve"> </w:t>
      </w:r>
      <w:r>
        <w:t xml:space="preserve">specific genes were enriched for protein families, including</w:t>
      </w:r>
      <w:r>
        <w:t xml:space="preserve"> </w:t>
      </w:r>
      <w:r>
        <w:t xml:space="preserve">sulfotransferases, serine carboxypeptidases, Mlo family proteins,</w:t>
      </w:r>
      <w:r>
        <w:t xml:space="preserve"> </w:t>
      </w:r>
      <w:r>
        <w:t xml:space="preserve">D-mannose binding lectin, Glycosyl hydrolases and absistic acid (ABA)</w:t>
      </w:r>
      <w:r>
        <w:t xml:space="preserve"> </w:t>
      </w:r>
      <w:r>
        <w:t xml:space="preserve">induced proteins.</w:t>
      </w:r>
    </w:p>
    <w:p>
      <w:pPr>
        <w:pStyle w:val="BodyText"/>
      </w:pPr>
      <w:r>
        <w:t xml:space="preserve">The cactus pan-genome graph contained 1,773,427 SV greater than 20bp in</w:t>
      </w:r>
      <w:r>
        <w:t xml:space="preserve"> </w:t>
      </w:r>
      <w:r>
        <w:t xml:space="preserve">length.</w:t>
      </w:r>
      <w:r>
        <w:t xml:space="preserve"> </w:t>
      </w:r>
      <w:hyperlink w:anchor="fig-5">
        <w:r>
          <w:rPr>
            <w:rStyle w:val="Hyperlink"/>
          </w:rPr>
          <w:t xml:space="preserve">Figure 4</w:t>
        </w:r>
      </w:hyperlink>
      <w:r>
        <w:t xml:space="preserve"> </w:t>
      </w:r>
      <w:r>
        <w:t xml:space="preserve">shows the distribution of these variants across the</w:t>
      </w:r>
      <w:r>
        <w:t xml:space="preserve"> </w:t>
      </w:r>
      <w:r>
        <w:t xml:space="preserve">genome. The distribution of frequencies of the non-reference allele for</w:t>
      </w:r>
      <w:r>
        <w:t xml:space="preserve"> </w:t>
      </w:r>
      <w:r>
        <w:t xml:space="preserve">these SV is shown in</w:t>
      </w:r>
      <w:r>
        <w:t xml:space="preserve"> </w:t>
      </w:r>
      <w:hyperlink w:anchor="fig-6">
        <w:r>
          <w:rPr>
            <w:rStyle w:val="Hyperlink"/>
          </w:rPr>
          <w:t xml:space="preserve">Figure 5</w:t>
        </w:r>
      </w:hyperlink>
      <w:r>
        <w:t xml:space="preserve">.</w:t>
      </w:r>
    </w:p>
    <w:p>
      <w:pPr>
        <w:pStyle w:val="BodyText"/>
      </w:pPr>
      <w:r>
        <w:t xml:space="preserve">The first two principal components of a PCA on PAV genotyped from short</w:t>
      </w:r>
      <w:r>
        <w:t xml:space="preserve"> </w:t>
      </w:r>
      <w:r>
        <w:t xml:space="preserve">read alignments to the pan-genome graph are shown in</w:t>
      </w:r>
      <w:r>
        <w:t xml:space="preserve"> </w:t>
      </w:r>
      <w:hyperlink w:anchor="fig-7">
        <w:r>
          <w:rPr>
            <w:rStyle w:val="Hyperlink"/>
          </w:rPr>
          <w:t xml:space="preserve">Figure 6</w:t>
        </w:r>
      </w:hyperlink>
      <w:r>
        <w:t xml:space="preserve">. The</w:t>
      </w:r>
      <w:r>
        <w:t xml:space="preserve"> </w:t>
      </w:r>
      <w:r>
        <w:t xml:space="preserve">loading of each allele for each SV on the first principal component of a</w:t>
      </w:r>
      <w:r>
        <w:t xml:space="preserve"> </w:t>
      </w:r>
      <w:r>
        <w:t xml:space="preserve">PCA on PAV genotyped from short read alignments to the pan-genome graph</w:t>
      </w:r>
      <w:r>
        <w:t xml:space="preserve"> </w:t>
      </w:r>
      <w:r>
        <w:t xml:space="preserve">is shown in</w:t>
      </w:r>
      <w:r>
        <w:t xml:space="preserve"> </w:t>
      </w:r>
      <w:r>
        <w:rPr>
          <w:b/>
          <w:bCs/>
        </w:rPr>
        <w:t xml:space="preserve">?@fig-8</w:t>
      </w:r>
      <w:r>
        <w:t xml:space="preserve">. The SV that were outliers on PC1 overlapped 1362</w:t>
      </w:r>
      <w:r>
        <w:t xml:space="preserve"> </w:t>
      </w:r>
      <w:r>
        <w:t xml:space="preserve">annotated genes. These genes were significantly enriched for protein</w:t>
      </w:r>
      <w:r>
        <w:t xml:space="preserve"> </w:t>
      </w:r>
      <w:r>
        <w:t xml:space="preserve">families involved in development and growth (K-Box proteins, KNOX</w:t>
      </w:r>
      <w:r>
        <w:t xml:space="preserve"> </w:t>
      </w:r>
      <w:r>
        <w:t xml:space="preserve">proteins), cold tolerance (DEAD/DEAH box helicases), and phenology (SRF</w:t>
      </w:r>
      <w:r>
        <w:t xml:space="preserve"> </w:t>
      </w:r>
      <w:r>
        <w:t xml:space="preserve">transcription factors).</w:t>
      </w:r>
    </w:p>
    <w:bookmarkEnd w:id="29"/>
    <w:bookmarkStart w:id="30" w:name="sv-and-introgression"/>
    <w:p>
      <w:pPr>
        <w:pStyle w:val="Heading3"/>
      </w:pPr>
      <w:r>
        <w:t xml:space="preserve">0.3.4 SV and Introgression</w:t>
      </w:r>
    </w:p>
    <w:p>
      <w:pPr>
        <w:pStyle w:val="FirstParagraph"/>
      </w:pPr>
      <w:r>
        <w:t xml:space="preserve">We identified 126,973 SV that overlapped ancestry blocks in admixed</w:t>
      </w:r>
      <w:r>
        <w:t xml:space="preserve"> </w:t>
      </w:r>
      <w:r>
        <w:t xml:space="preserve">individuals, and found that 30,721 of these were associated with blocks</w:t>
      </w:r>
      <w:r>
        <w:t xml:space="preserve"> </w:t>
      </w:r>
      <w:r>
        <w:t xml:space="preserve">of either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 </w:t>
      </w:r>
      <w:r>
        <w:t xml:space="preserve">or</w:t>
      </w:r>
      <w:r>
        <w:t xml:space="preserve"> </w:t>
      </w:r>
      <w:r>
        <w:rPr>
          <w:i/>
          <w:iCs/>
        </w:rPr>
        <w:t xml:space="preserve">P. balsamifera</w:t>
      </w:r>
      <w:r>
        <w:t xml:space="preserve"> </w:t>
      </w:r>
      <w:r>
        <w:t xml:space="preserve">ancestry in admixed</w:t>
      </w:r>
      <w:r>
        <w:t xml:space="preserve"> </w:t>
      </w:r>
      <w:r>
        <w:t xml:space="preserve">individuals.</w:t>
      </w:r>
    </w:p>
    <w:bookmarkEnd w:id="30"/>
    <w:bookmarkStart w:id="34" w:name="tables"/>
    <w:p>
      <w:pPr>
        <w:pStyle w:val="Heading3"/>
      </w:pPr>
      <w:r>
        <w:t xml:space="preserve">0.3.5 Tables</w:t>
      </w:r>
    </w:p>
    <w:p>
      <w:pPr>
        <w:pStyle w:val="FirstParagraph"/>
      </w:pPr>
      <w:r>
        <w:drawing>
          <wp:inline>
            <wp:extent cx="5334000" cy="4915243"/>
            <wp:effectExtent b="0" l="0" r="0" t="0"/>
            <wp:docPr descr="" title="" id="32" name="Picture"/>
            <a:graphic>
              <a:graphicData uri="http://schemas.openxmlformats.org/drawingml/2006/picture">
                <pic:pic>
                  <pic:nvPicPr>
                    <pic:cNvPr descr="figs/table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152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{fig-format: svg}</w:t>
      </w:r>
    </w:p>
    <w:bookmarkEnd w:id="34"/>
    <w:bookmarkEnd w:id="35"/>
    <w:bookmarkStart w:id="153" w:name="figures"/>
    <w:p>
      <w:pPr>
        <w:pStyle w:val="Heading1"/>
      </w:pPr>
      <w:r>
        <w:t xml:space="preserve">1. Figures</w:t>
      </w:r>
    </w:p>
    <w:bookmarkStart w:id="46" w:name="fig-1"/>
    <w:tbl>
      <w:tblPr>
        <w:tblStyle w:val="Table"/>
        <w:tblW w:type="pct" w:w="4900"/>
        <w:tblLayout w:type="fixed"/>
        <w:tblLook w:firstRow="0" w:lastRow="0" w:firstColumn="0" w:lastColumn="0" w:noHBand="0" w:noVBand="0" w:val="0000"/>
      </w:tblPr>
      <w:tblGrid>
        <w:gridCol w:w="3880"/>
        <w:gridCol w:w="3880"/>
      </w:tblGrid>
      <w:tr>
        <w:tc>
          <w:tcPr/>
          <w:tbl>
            <w:tblPr>
              <w:tblStyle w:val="Table"/>
              <w:tblW w:type="pct" w:w="4900"/>
              <w:tblLayout w:type="fixed"/>
              <w:tblLook w:firstRow="0" w:lastRow="0" w:firstColumn="0" w:lastColumn="0" w:noHBand="0" w:noVBand="0" w:val="0000"/>
            </w:tblPr>
            <w:tblGrid>
              <w:gridCol w:w="7761"/>
            </w:tblGrid>
            <w:tr>
              <w:tc>
                <w:tcPr/>
                <w:bookmarkStart w:id="40" w:name="fig-1a"/>
                <w:p>
                  <w:pPr>
                    <w:pStyle w:val="Compact"/>
                    <w:jc w:val="center"/>
                    <w:jc w:val="left"/>
                  </w:pPr>
                  <w:bookmarkStart w:id="39" w:name="fig-1a"/>
                  <w:r>
                    <w:drawing>
                      <wp:inline>
                        <wp:extent cx="2971800" cy="1981200"/>
                        <wp:effectExtent b="0" l="0" r="0" t="0"/>
                        <wp:docPr descr="" title="" id="37" name="Picture"/>
                        <a:graphic>
                          <a:graphicData uri="http://schemas.openxmlformats.org/drawingml/2006/picture">
                            <pic:pic>
                              <pic:nvPicPr>
                                <pic:cNvPr descr="figs/msamp.jpg" id="38" name="Picture"/>
                                <pic:cNvPicPr>
                                  <a:picLocks noChangeArrowheads="1" noChangeAspect="1"/>
                                </pic:cNvPicPr>
                              </pic:nvPicPr>
                              <pic:blipFill>
                                <a:blip r:embed="rId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71800" cy="19812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bookmarkEnd w:id="39"/>
                </w:p>
                <w:p>
                  <w:pPr>
                    <w:jc w:val="center"/>
                    <w:jc w:val="left"/>
                  </w:pPr>
                  <w:pPr>
                    <w:jc w:val="left"/>
                    <w:spacing w:before="200"/>
                    <w:pStyle w:val="ImageCaption"/>
                  </w:pPr>
                  <w:r>
                    <w:t xml:space="preserve">(a)</w:t>
                  </w:r>
                </w:p>
                <w:bookmarkEnd w:id="40"/>
              </w:tc>
            </w:tr>
          </w:tbl>
          <w:p/>
        </w:tc>
        <w:tc>
          <w:tcPr/>
          <w:p>
            <w:pPr>
              <w:jc w:val="left"/>
            </w:pPr>
            <w:r>
              <w:t xml:space="preserve"> </w:t>
            </w:r>
          </w:p>
        </w:tc>
      </w:tr>
    </w:tbl>
    <w:p>
      <w:pPr>
        <w:framePr w:w="0" w:h="0" w:vAnchor="margin" w:hAnchor="margin" w:xAlign="right" w:yAlign="top"/>
      </w:pPr>
    </w:p>
    <w:tbl>
      <w:tblPr>
        <w:tblStyle w:val="Table"/>
        <w:tblW w:type="pct" w:w="4900"/>
        <w:tblLayout w:type="fixed"/>
        <w:tblLook w:firstRow="0" w:lastRow="0" w:firstColumn="0" w:lastColumn="0" w:noHBand="0" w:noVBand="0" w:val="0000"/>
      </w:tblPr>
      <w:tblGrid>
        <w:gridCol w:w="7761"/>
      </w:tblGrid>
      <w:tr>
        <w:tc>
          <w:tcPr/>
          <w:tbl>
            <w:tblPr>
              <w:tblStyle w:val="Table"/>
              <w:tblW w:type="pct" w:w="4900"/>
              <w:tblLayout w:type="fixed"/>
              <w:tblLook w:firstRow="0" w:lastRow="0" w:firstColumn="0" w:lastColumn="0" w:noHBand="0" w:noVBand="0" w:val="0000"/>
            </w:tblPr>
            <w:tblGrid>
              <w:gridCol w:w="7761"/>
            </w:tblGrid>
            <w:tr>
              <w:tc>
                <w:tcPr/>
                <w:bookmarkStart w:id="45" w:name="fig-1b"/>
                <w:p>
                  <w:pPr>
                    <w:pStyle w:val="Compact"/>
                    <w:jc w:val="center"/>
                    <w:jc w:val="left"/>
                  </w:pPr>
                  <w:bookmarkStart w:id="44" w:name="fig-1b"/>
                  <w:r>
                    <w:drawing>
                      <wp:inline>
                        <wp:extent cx="2971800" cy="1981200"/>
                        <wp:effectExtent b="0" l="0" r="0" t="0"/>
                        <wp:docPr descr="" title="" id="42" name="Picture"/>
                        <a:graphic>
                          <a:graphicData uri="http://schemas.openxmlformats.org/drawingml/2006/picture">
                            <pic:pic>
                              <pic:nvPicPr>
                                <pic:cNvPr descr="figs/msamp_sub.jpg" id="43" name="Picture"/>
                                <pic:cNvPicPr>
                                  <a:picLocks noChangeArrowheads="1" noChangeAspect="1"/>
                                </pic:cNvPicPr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71800" cy="19812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bookmarkEnd w:id="44"/>
                </w:p>
                <w:p>
                  <w:pPr>
                    <w:jc w:val="center"/>
                    <w:jc w:val="left"/>
                  </w:pPr>
                  <w:pPr>
                    <w:jc w:val="left"/>
                    <w:spacing w:before="200"/>
                    <w:pStyle w:val="ImageCaption"/>
                  </w:pPr>
                  <w:r>
                    <w:t xml:space="preserve">(b)</w:t>
                  </w:r>
                </w:p>
                <w:bookmarkEnd w:id="45"/>
              </w:tc>
            </w:tr>
          </w:tbl>
          <w:p/>
        </w:tc>
      </w:tr>
    </w:tbl>
    <w:p>
      <w:pPr>
        <w:pStyle w:val="BodyText"/>
      </w:pPr>
      <w:pPr>
        <w:spacing w:before="200"/>
        <w:pStyle w:val="ImageCaption"/>
      </w:pPr>
      <w:r>
        <w:t xml:space="preserve">Figure 1: (a): sampling locations for 575 individuals used in this study, color</w:t>
      </w:r>
      <w:r>
        <w:t xml:space="preserve"> </w:t>
      </w:r>
      <w:r>
        <w:t xml:space="preserve">indicates ancestry based in ADMIXTURE analysis (b): A subset of 16</w:t>
      </w:r>
      <w:r>
        <w:t xml:space="preserve"> </w:t>
      </w:r>
      <w:r>
        <w:t xml:space="preserve">individuals used for whole genome assembly</w:t>
      </w:r>
    </w:p>
    <w:bookmarkEnd w:id="46"/>
    <w:p>
      <w:pPr>
        <w:pStyle w:val="BodyText"/>
      </w:pPr>
      <w:r>
        <w:t xml:space="preserve"> </w:t>
      </w:r>
    </w:p>
    <w:bookmarkStart w:id="57" w:name="fig-2"/>
    <w:tbl>
      <w:tblPr>
        <w:tblStyle w:val="Table"/>
        <w:tblW w:type="pct" w:w="4900"/>
        <w:tblLayout w:type="fixed"/>
        <w:tblLook w:firstRow="0" w:lastRow="0" w:firstColumn="0" w:lastColumn="0" w:noHBand="0" w:noVBand="0" w:val="0000"/>
      </w:tblPr>
      <w:tblGrid>
        <w:gridCol w:w="3880"/>
        <w:gridCol w:w="3880"/>
      </w:tblGrid>
      <w:tr>
        <w:tc>
          <w:tcPr/>
          <w:tbl>
            <w:tblPr>
              <w:tblStyle w:val="Table"/>
              <w:tblW w:type="pct" w:w="4900"/>
              <w:tblLayout w:type="fixed"/>
              <w:tblLook w:firstRow="0" w:lastRow="0" w:firstColumn="0" w:lastColumn="0" w:noHBand="0" w:noVBand="0" w:val="0000"/>
            </w:tblPr>
            <w:tblGrid>
              <w:gridCol w:w="7761"/>
            </w:tblGrid>
            <w:tr>
              <w:tc>
                <w:tcPr/>
                <w:bookmarkStart w:id="51" w:name="fig-2a"/>
                <w:p>
                  <w:pPr>
                    <w:pStyle w:val="Compact"/>
                    <w:jc w:val="center"/>
                    <w:jc w:val="left"/>
                  </w:pPr>
                  <w:bookmarkStart w:id="50" w:name="fig-2a"/>
                  <w:r>
                    <w:drawing>
                      <wp:inline>
                        <wp:extent cx="2971800" cy="1981200"/>
                        <wp:effectExtent b="0" l="0" r="0" t="0"/>
                        <wp:docPr descr="" title="" id="48" name="Picture"/>
                        <a:graphic>
                          <a:graphicData uri="http://schemas.openxmlformats.org/drawingml/2006/picture">
                            <pic:pic>
                              <pic:nvPicPr>
                                <pic:cNvPr descr="figs/pg_growth.jpg" id="49" name="Picture"/>
                                <pic:cNvPicPr>
                                  <a:picLocks noChangeArrowheads="1" noChangeAspect="1"/>
                                </pic:cNvPicPr>
                              </pic:nvPicPr>
                              <pic:blipFill>
                                <a:blip r:embed="rId47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71800" cy="19812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bookmarkEnd w:id="50"/>
                </w:p>
                <w:p>
                  <w:pPr>
                    <w:jc w:val="center"/>
                    <w:jc w:val="left"/>
                  </w:pPr>
                  <w:pPr>
                    <w:jc w:val="left"/>
                    <w:spacing w:before="200"/>
                    <w:pStyle w:val="ImageCaption"/>
                  </w:pPr>
                  <w:r>
                    <w:t xml:space="preserve">(a)</w:t>
                  </w:r>
                </w:p>
                <w:bookmarkEnd w:id="51"/>
              </w:tc>
            </w:tr>
          </w:tbl>
          <w:p/>
        </w:tc>
        <w:tc>
          <w:tcPr/>
          <w:p>
            <w:pPr>
              <w:jc w:val="left"/>
            </w:pPr>
            <w:r>
              <w:t xml:space="preserve"> </w:t>
            </w:r>
          </w:p>
        </w:tc>
      </w:tr>
    </w:tbl>
    <w:p>
      <w:pPr>
        <w:framePr w:w="0" w:h="0" w:vAnchor="margin" w:hAnchor="margin" w:xAlign="right" w:yAlign="top"/>
      </w:pPr>
    </w:p>
    <w:tbl>
      <w:tblPr>
        <w:tblStyle w:val="Table"/>
        <w:tblW w:type="pct" w:w="4900"/>
        <w:tblLayout w:type="fixed"/>
        <w:tblLook w:firstRow="0" w:lastRow="0" w:firstColumn="0" w:lastColumn="0" w:noHBand="0" w:noVBand="0" w:val="0000"/>
      </w:tblPr>
      <w:tblGrid>
        <w:gridCol w:w="7761"/>
      </w:tblGrid>
      <w:tr>
        <w:tc>
          <w:tcPr/>
          <w:tbl>
            <w:tblPr>
              <w:tblStyle w:val="Table"/>
              <w:tblW w:type="pct" w:w="4900"/>
              <w:tblLayout w:type="fixed"/>
              <w:tblLook w:firstRow="0" w:lastRow="0" w:firstColumn="0" w:lastColumn="0" w:noHBand="0" w:noVBand="0" w:val="0000"/>
            </w:tblPr>
            <w:tblGrid>
              <w:gridCol w:w="7761"/>
            </w:tblGrid>
            <w:tr>
              <w:tc>
                <w:tcPr/>
                <w:bookmarkStart w:id="56" w:name="fig-2b"/>
                <w:p>
                  <w:pPr>
                    <w:pStyle w:val="Compact"/>
                    <w:jc w:val="center"/>
                    <w:jc w:val="left"/>
                  </w:pPr>
                  <w:bookmarkStart w:id="55" w:name="fig-2b"/>
                  <w:r>
                    <w:drawing>
                      <wp:inline>
                        <wp:extent cx="2971800" cy="1981200"/>
                        <wp:effectExtent b="0" l="0" r="0" t="0"/>
                        <wp:docPr descr="" title="" id="53" name="Picture"/>
                        <a:graphic>
                          <a:graphicData uri="http://schemas.openxmlformats.org/drawingml/2006/picture">
                            <pic:pic>
                              <pic:nvPicPr>
                                <pic:cNvPr descr="figs/pg_content.jpg" id="54" name="Picture"/>
                                <pic:cNvPicPr>
                                  <a:picLocks noChangeArrowheads="1" noChangeAspect="1"/>
                                </pic:cNvPicPr>
                              </pic:nvPicPr>
                              <pic:blipFill>
                                <a:blip r:embed="rId52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71800" cy="19812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bookmarkEnd w:id="55"/>
                </w:p>
                <w:p>
                  <w:pPr>
                    <w:jc w:val="center"/>
                    <w:jc w:val="left"/>
                  </w:pPr>
                  <w:pPr>
                    <w:jc w:val="left"/>
                    <w:spacing w:before="200"/>
                    <w:pStyle w:val="ImageCaption"/>
                  </w:pPr>
                  <w:r>
                    <w:t xml:space="preserve">(b)</w:t>
                  </w:r>
                </w:p>
                <w:bookmarkEnd w:id="56"/>
              </w:tc>
            </w:tr>
          </w:tbl>
          <w:p/>
        </w:tc>
      </w:tr>
    </w:tbl>
    <w:p>
      <w:pPr>
        <w:pStyle w:val="BodyText"/>
      </w:pPr>
      <w:pPr>
        <w:spacing w:before="200"/>
        <w:pStyle w:val="ImageCaption"/>
      </w:pPr>
      <w:r>
        <w:t xml:space="preserve">Figure 2: (a): Pan-genome growth curve visualizes the change in core and shell</w:t>
      </w:r>
      <w:r>
        <w:t xml:space="preserve"> </w:t>
      </w:r>
      <w:r>
        <w:t xml:space="preserve">genome size as samples are added. (b): The relative length of the core,</w:t>
      </w:r>
      <w:r>
        <w:t xml:space="preserve"> </w:t>
      </w:r>
      <w:r>
        <w:t xml:space="preserve">shell and singleton portions of the pan-genome for each sample</w:t>
      </w:r>
      <w:r>
        <w:t xml:space="preserve"> </w:t>
      </w:r>
      <w:r>
        <w:t xml:space="preserve">represented</w:t>
      </w:r>
    </w:p>
    <w:bookmarkEnd w:id="57"/>
    <w:p>
      <w:pPr>
        <w:pStyle w:val="BodyText"/>
      </w:pPr>
      <w:r>
        <w:t xml:space="preserve"> </w:t>
      </w:r>
    </w:p>
    <w:bookmarkStart w:id="71" w:name="fig-3"/>
    <w:tbl>
      <w:tblPr>
        <w:tblStyle w:val="Table"/>
        <w:tblW w:type="pct" w:w="4900"/>
        <w:tblLayout w:type="fixed"/>
        <w:tblLook w:firstRow="0" w:lastRow="0" w:firstColumn="0" w:lastColumn="0" w:noHBand="0" w:noVBand="0" w:val="0000"/>
      </w:tblPr>
      <w:tblGrid>
        <w:gridCol w:w="3880"/>
        <w:gridCol w:w="3880"/>
      </w:tblGrid>
      <w:tr>
        <w:tc>
          <w:tcPr/>
          <w:p>
            <w:pPr>
              <w:jc w:val="left"/>
            </w:pPr>
            <w:bookmarkStart w:id="61" w:name="fig-3a"/>
            <w:r>
              <w:drawing>
                <wp:inline>
                  <wp:extent cx="3810000" cy="2540000"/>
                  <wp:effectExtent b="0" l="0" r="0" t="0"/>
                  <wp:docPr descr="" title="" id="59" name="Picture"/>
                  <a:graphic>
                    <a:graphicData uri="http://schemas.openxmlformats.org/drawingml/2006/picture">
                      <pic:pic>
                        <pic:nvPicPr>
                          <pic:cNvPr descr="figs/com_pav_pca.jpg" id="6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61"/>
            <w:r>
              <w:t xml:space="preserve"> </w:t>
            </w:r>
            <w:bookmarkStart w:id="65" w:name="fig-3b"/>
            <w:r>
              <w:drawing>
                <wp:inline>
                  <wp:extent cx="3810000" cy="2540000"/>
                  <wp:effectExtent b="0" l="0" r="0" t="0"/>
                  <wp:docPr descr="" title="" id="63" name="Picture"/>
                  <a:graphic>
                    <a:graphicData uri="http://schemas.openxmlformats.org/drawingml/2006/picture">
                      <pic:pic>
                        <pic:nvPicPr>
                          <pic:cNvPr descr="figs/rar_pav_pca.jpg" id="6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65"/>
          </w:p>
        </w:tc>
        <w:tc>
          <w:tcPr/>
          <w:tbl>
            <w:tblPr>
              <w:tblStyle w:val="Table"/>
              <w:tblW w:type="pct" w:w="4900"/>
              <w:tblLayout w:type="fixed"/>
              <w:tblLook w:firstRow="0" w:lastRow="0" w:firstColumn="0" w:lastColumn="0" w:noHBand="0" w:noVBand="0" w:val="0000"/>
            </w:tblPr>
            <w:tblGrid>
              <w:gridCol w:w="7761"/>
            </w:tblGrid>
            <w:tr>
              <w:tc>
                <w:tcPr/>
                <w:bookmarkStart w:id="70" w:name="fig-3c"/>
                <w:p>
                  <w:pPr>
                    <w:pStyle w:val="Compact"/>
                    <w:jc w:val="center"/>
                    <w:jc w:val="left"/>
                  </w:pPr>
                  <w:bookmarkStart w:id="69" w:name="fig-3c"/>
                  <w:r>
                    <w:drawing>
                      <wp:inline>
                        <wp:extent cx="1975104" cy="1316736"/>
                        <wp:effectExtent b="0" l="0" r="0" t="0"/>
                        <wp:docPr descr="" title="" id="67" name="Picture"/>
                        <a:graphic>
                          <a:graphicData uri="http://schemas.openxmlformats.org/drawingml/2006/picture">
                            <pic:pic>
                              <pic:nvPicPr>
                                <pic:cNvPr descr="figs/pav_pca.jpg" id="68" name="Picture"/>
                                <pic:cNvPicPr>
                                  <a:picLocks noChangeArrowheads="1" noChangeAspect="1"/>
                                </pic:cNvPicPr>
                              </pic:nvPicPr>
                              <pic:blipFill>
                                <a:blip r:embed="rId6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975104" cy="131673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bookmarkEnd w:id="69"/>
                </w:p>
                <w:p>
                  <w:pPr>
                    <w:jc w:val="center"/>
                    <w:jc w:val="left"/>
                  </w:pPr>
                  <w:pPr>
                    <w:jc w:val="left"/>
                    <w:spacing w:before="200"/>
                    <w:pStyle w:val="ImageCaption"/>
                  </w:pPr>
                  <w:r>
                    <w:t xml:space="preserve">(a)</w:t>
                  </w:r>
                </w:p>
                <w:bookmarkEnd w:id="70"/>
              </w:tc>
            </w:tr>
          </w:tbl>
          <w:p/>
        </w:tc>
      </w:tr>
    </w:tbl>
    <w:p>
      <w:pPr>
        <w:pStyle w:val="BodyText"/>
      </w:pPr>
      <w:pPr>
        <w:spacing w:before="200"/>
        <w:pStyle w:val="ImageCaption"/>
      </w:pPr>
      <w:r>
        <w:t xml:space="preserve">Figure 3: The first two principal components of a PCA on presence/absence</w:t>
      </w:r>
      <w:r>
        <w:t xml:space="preserve"> </w:t>
      </w:r>
      <w:r>
        <w:t xml:space="preserve">variation in the pan-genome. Results of PCA on common (a), rare (b) and</w:t>
      </w:r>
      <w:r>
        <w:t xml:space="preserve"> </w:t>
      </w:r>
      <w:r>
        <w:t xml:space="preserve">all (c) PAV are shown Color indicates ancestry based in ADMIXTURE</w:t>
      </w:r>
      <w:r>
        <w:t xml:space="preserve"> </w:t>
      </w:r>
      <w:r>
        <w:t xml:space="preserve">analysis.</w:t>
      </w:r>
    </w:p>
    <w:bookmarkEnd w:id="71"/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5" w:name="fig-5"/>
          <w:p>
            <w:pPr>
              <w:pStyle w:val="Compact"/>
              <w:jc w:val="center"/>
            </w:pPr>
            <w:r>
              <w:drawing>
                <wp:inline>
                  <wp:extent cx="3810000" cy="2540000"/>
                  <wp:effectExtent b="0" l="0" r="0" t="0"/>
                  <wp:docPr descr="" title="" id="73" name="Picture"/>
                  <a:graphic>
                    <a:graphicData uri="http://schemas.openxmlformats.org/drawingml/2006/picture">
                      <pic:pic>
                        <pic:nvPicPr>
                          <pic:cNvPr descr="figs/sv_genomic_distribution.jpg" id="7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Figure 4: The density of SV larger than 20bp in length across the genome (purple)</w:t>
            </w:r>
            <w:r>
              <w:t xml:space="preserve"> </w:t>
            </w:r>
            <w:r>
              <w:t xml:space="preserve">compared to the density of annotated genes (green)</w:t>
            </w:r>
          </w:p>
          <w:bookmarkEnd w:id="75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9" w:name="fig-6"/>
          <w:p>
            <w:pPr>
              <w:pStyle w:val="Compact"/>
              <w:jc w:val="center"/>
            </w:pPr>
            <w:r>
              <w:drawing>
                <wp:inline>
                  <wp:extent cx="3810000" cy="2540000"/>
                  <wp:effectExtent b="0" l="0" r="0" t="0"/>
                  <wp:docPr descr="" title="" id="77" name="Picture"/>
                  <a:graphic>
                    <a:graphicData uri="http://schemas.openxmlformats.org/drawingml/2006/picture">
                      <pic:pic>
                        <pic:nvPicPr>
                          <pic:cNvPr descr="figs/sv_freq.jpg" id="7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Figure 5: The frequency distribution of the minor allele for SV of different size</w:t>
            </w:r>
            <w:r>
              <w:t xml:space="preserve"> </w:t>
            </w:r>
            <w:r>
              <w:t xml:space="preserve">classes</w:t>
            </w:r>
          </w:p>
          <w:bookmarkEnd w:id="79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3" w:name="fig-7"/>
          <w:p>
            <w:pPr>
              <w:pStyle w:val="Compact"/>
              <w:jc w:val="center"/>
            </w:pPr>
            <w:r>
              <w:drawing>
                <wp:inline>
                  <wp:extent cx="3810000" cy="2540000"/>
                  <wp:effectExtent b="0" l="0" r="0" t="0"/>
                  <wp:docPr descr="" title="" id="81" name="Picture"/>
                  <a:graphic>
                    <a:graphicData uri="http://schemas.openxmlformats.org/drawingml/2006/picture">
                      <pic:pic>
                        <pic:nvPicPr>
                          <pic:cNvPr descr="figs/sv_pc1_pc2.jpg" id="8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Figure 6: The first two principal components of a PCA of PAV genotyped from short</w:t>
            </w:r>
            <w:r>
              <w:t xml:space="preserve"> </w:t>
            </w:r>
            <w:r>
              <w:t xml:space="preserve">read alignments to the pan-genome graph. Color indicates ancestry based</w:t>
            </w:r>
            <w:r>
              <w:t xml:space="preserve"> </w:t>
            </w:r>
            <w:r>
              <w:t xml:space="preserve">on ADMIXTURE analysis. Shape indicates which of the latitudinal</w:t>
            </w:r>
            <w:r>
              <w:t xml:space="preserve"> </w:t>
            </w:r>
            <w:r>
              <w:t xml:space="preserve">transects the individual was sampled from.</w:t>
            </w:r>
          </w:p>
          <w:bookmarkEnd w:id="83"/>
        </w:tc>
      </w:tr>
    </w:tbl>
    <w:bookmarkStart w:id="152" w:name="references"/>
    <w:p>
      <w:pPr>
        <w:pStyle w:val="Heading2"/>
      </w:pPr>
      <w:r>
        <w:t xml:space="preserve">References</w:t>
      </w:r>
    </w:p>
    <w:bookmarkStart w:id="151" w:name="refs"/>
    <w:bookmarkStart w:id="84" w:name="ref-almarri2020population"/>
    <w:p>
      <w:pPr>
        <w:pStyle w:val="Bibliography"/>
      </w:pPr>
      <w:r>
        <w:t xml:space="preserve">Almarri, Mohamed A, Anders Bergström, Javier Prado-Martinez, Fengtang Yang, Beiyuan Fu, Alistair S Dunham, Yuan Chen, Matthew E Hurles, Chris Tyler-Smith, and Yali Xue. 2020.</w:t>
      </w:r>
      <w:r>
        <w:t xml:space="preserve"> </w:t>
      </w:r>
      <w:r>
        <w:t xml:space="preserve">“Population Structure, Stratification, and Introgression of Human Structural Variation.”</w:t>
      </w:r>
      <w:r>
        <w:t xml:space="preserve"> </w:t>
      </w:r>
      <w:r>
        <w:rPr>
          <w:i/>
          <w:iCs/>
        </w:rPr>
        <w:t xml:space="preserve">Cell</w:t>
      </w:r>
      <w:r>
        <w:t xml:space="preserve"> </w:t>
      </w:r>
      <w:r>
        <w:t xml:space="preserve">182 (1): 189–99.</w:t>
      </w:r>
    </w:p>
    <w:bookmarkEnd w:id="84"/>
    <w:bookmarkStart w:id="85" w:name="ref-bock2023genomics"/>
    <w:p>
      <w:pPr>
        <w:pStyle w:val="Bibliography"/>
      </w:pPr>
      <w:r>
        <w:t xml:space="preserve">Bock, Dan G, Zhe Cai, Cassandra Elphinstone, Eric Gonzalez-Segovia, Kaede Hirabayashi, Kaichi Huang, Graeme L Keais, Amy Kim, Gregory L Owens, and Loren H Rieseberg. 2023.</w:t>
      </w:r>
      <w:r>
        <w:t xml:space="preserve"> </w:t>
      </w:r>
      <w:r>
        <w:t xml:space="preserve">“Genomics of Plant Speciation.”</w:t>
      </w:r>
      <w:r>
        <w:t xml:space="preserve"> </w:t>
      </w:r>
      <w:r>
        <w:rPr>
          <w:i/>
          <w:iCs/>
        </w:rPr>
        <w:t xml:space="preserve">Plant Communications</w:t>
      </w:r>
      <w:r>
        <w:t xml:space="preserve"> </w:t>
      </w:r>
      <w:r>
        <w:t xml:space="preserve">4 (5).</w:t>
      </w:r>
    </w:p>
    <w:bookmarkEnd w:id="85"/>
    <w:bookmarkStart w:id="86" w:name="ref-burgarella2019adaptive"/>
    <w:p>
      <w:pPr>
        <w:pStyle w:val="Bibliography"/>
      </w:pPr>
      <w:r>
        <w:t xml:space="preserve">Burgarella, Concetta, Adeline Barnaud, Ndjido Ardo Kane, Frédérique Jankowski, Nora Scarcelli, Claire Billot, Yves Vigouroux, and Cécile Berthouly-Salazar. 2019.</w:t>
      </w:r>
      <w:r>
        <w:t xml:space="preserve"> </w:t>
      </w:r>
      <w:r>
        <w:t xml:space="preserve">“Adaptive Introgression: An Untapped Evolutionary Mechanism for Crop Adaptation.”</w:t>
      </w:r>
      <w:r>
        <w:t xml:space="preserve"> </w:t>
      </w:r>
      <w:r>
        <w:rPr>
          <w:i/>
          <w:iCs/>
        </w:rPr>
        <w:t xml:space="preserve">Frontiers in Plant Science</w:t>
      </w:r>
      <w:r>
        <w:t xml:space="preserve"> </w:t>
      </w:r>
      <w:r>
        <w:t xml:space="preserve">10: 4.</w:t>
      </w:r>
    </w:p>
    <w:bookmarkEnd w:id="86"/>
    <w:bookmarkStart w:id="87" w:name="ref-chang2015second"/>
    <w:p>
      <w:pPr>
        <w:pStyle w:val="Bibliography"/>
      </w:pPr>
      <w:r>
        <w:t xml:space="preserve">Chang, Christopher C, Carson C Chow, Laurent CAM Tellier, Shashaank Vattikuti, Shaun M Purcell, and James J Lee. 2015.</w:t>
      </w:r>
      <w:r>
        <w:t xml:space="preserve"> </w:t>
      </w:r>
      <w:r>
        <w:t xml:space="preserve">“Second-Generation PLINK: Rising to the Challenge of Larger and Richer Datasets.”</w:t>
      </w:r>
      <w:r>
        <w:t xml:space="preserve"> </w:t>
      </w:r>
      <w:r>
        <w:rPr>
          <w:i/>
          <w:iCs/>
        </w:rPr>
        <w:t xml:space="preserve">Gigascience</w:t>
      </w:r>
      <w:r>
        <w:t xml:space="preserve"> </w:t>
      </w:r>
      <w:r>
        <w:t xml:space="preserve">4 (1): s13742–015.</w:t>
      </w:r>
    </w:p>
    <w:bookmarkEnd w:id="87"/>
    <w:bookmarkStart w:id="88" w:name="ref-cheng2019frequent"/>
    <w:p>
      <w:pPr>
        <w:pStyle w:val="Bibliography"/>
      </w:pPr>
      <w:r>
        <w:t xml:space="preserve">Cheng, Hong, Jing Liu, Jia Wen, Xiaojun Nie, Luohao Xu, Ningbo Chen, Zhongxing Li, et al. 2019.</w:t>
      </w:r>
      <w:r>
        <w:t xml:space="preserve"> </w:t>
      </w:r>
      <w:r>
        <w:t xml:space="preserve">“Frequent Intra-and Inter-Species Introgression Shapes the Landscape of Genetic Variation in Bread Wheat.”</w:t>
      </w:r>
      <w:r>
        <w:t xml:space="preserve"> </w:t>
      </w:r>
      <w:r>
        <w:rPr>
          <w:i/>
          <w:iCs/>
        </w:rPr>
        <w:t xml:space="preserve">Genome Biology</w:t>
      </w:r>
      <w:r>
        <w:t xml:space="preserve"> </w:t>
      </w:r>
      <w:r>
        <w:t xml:space="preserve">20: 1–16.</w:t>
      </w:r>
    </w:p>
    <w:bookmarkEnd w:id="88"/>
    <w:bookmarkStart w:id="89" w:name="ref-chhatre2018adaptive"/>
    <w:p>
      <w:pPr>
        <w:pStyle w:val="Bibliography"/>
      </w:pPr>
      <w:r>
        <w:t xml:space="preserve">Chhatre, Vikram E, Luke M Evans, Stephen P DiFazio, and Stephen R Keller. 2018.</w:t>
      </w:r>
      <w:r>
        <w:t xml:space="preserve"> </w:t>
      </w:r>
      <w:r>
        <w:t xml:space="preserve">“Adaptive Introgression and Maintenance of a Trispecies Hybrid Complex in Range-Edge Populations of Populus.”</w:t>
      </w:r>
      <w:r>
        <w:t xml:space="preserve"> </w:t>
      </w:r>
      <w:r>
        <w:rPr>
          <w:i/>
          <w:iCs/>
        </w:rPr>
        <w:t xml:space="preserve">Molecular Ecology</w:t>
      </w:r>
      <w:r>
        <w:t xml:space="preserve"> </w:t>
      </w:r>
      <w:r>
        <w:t xml:space="preserve">27 (23): 4820–38.</w:t>
      </w:r>
    </w:p>
    <w:bookmarkEnd w:id="89"/>
    <w:bookmarkStart w:id="91" w:name="ref-danecek2021"/>
    <w:p>
      <w:pPr>
        <w:pStyle w:val="Bibliography"/>
      </w:pPr>
      <w:r>
        <w:t xml:space="preserve">Danecek, Petr, James K Bonfield, Jennifer Liddle, John Marshall, Valeriu Ohan, Martin O Pollard, Andrew Whitwham, et al. 2021.</w:t>
      </w:r>
      <w:r>
        <w:t xml:space="preserve"> </w:t>
      </w:r>
      <w:r>
        <w:t xml:space="preserve">“Twelve Years of SAMtools and BCFtools.”</w:t>
      </w:r>
      <w:r>
        <w:t xml:space="preserve"> </w:t>
      </w:r>
      <w:r>
        <w:rPr>
          <w:i/>
          <w:iCs/>
        </w:rPr>
        <w:t xml:space="preserve">GigaScience</w:t>
      </w:r>
      <w:r>
        <w:t xml:space="preserve"> </w:t>
      </w:r>
      <w:r>
        <w:t xml:space="preserve">10 (2).</w:t>
      </w:r>
      <w:r>
        <w:t xml:space="preserve"> </w:t>
      </w:r>
      <w:hyperlink r:id="rId90">
        <w:r>
          <w:rPr>
            <w:rStyle w:val="Hyperlink"/>
          </w:rPr>
          <w:t xml:space="preserve">https://doi.org/10.1093/gigascience/giab008</w:t>
        </w:r>
      </w:hyperlink>
      <w:r>
        <w:t xml:space="preserve">.</w:t>
      </w:r>
    </w:p>
    <w:bookmarkEnd w:id="91"/>
    <w:bookmarkStart w:id="92" w:name="ref-dias2018loter"/>
    <w:p>
      <w:pPr>
        <w:pStyle w:val="Bibliography"/>
      </w:pPr>
      <w:r>
        <w:t xml:space="preserve">Dias-Alves, Thomas, Julien Mairal, and Michael GB Blum. 2018.</w:t>
      </w:r>
      <w:r>
        <w:t xml:space="preserve"> </w:t>
      </w:r>
      <w:r>
        <w:t xml:space="preserve">“Loter: A Software Package to Infer Local Ancestry for a Wide Range of Species.”</w:t>
      </w:r>
      <w:r>
        <w:t xml:space="preserve"> </w:t>
      </w:r>
      <w:r>
        <w:rPr>
          <w:i/>
          <w:iCs/>
        </w:rPr>
        <w:t xml:space="preserve">Molecular Biology and Evolution</w:t>
      </w:r>
      <w:r>
        <w:t xml:space="preserve"> </w:t>
      </w:r>
      <w:r>
        <w:t xml:space="preserve">35 (9): 2318–26.</w:t>
      </w:r>
    </w:p>
    <w:bookmarkEnd w:id="92"/>
    <w:bookmarkStart w:id="93" w:name="ref-fang2024fitness"/>
    <w:p>
      <w:pPr>
        <w:pStyle w:val="Bibliography"/>
      </w:pPr>
      <w:r>
        <w:t xml:space="preserve">Fang, Bohao, and Scott V Edwards. 2024.</w:t>
      </w:r>
      <w:r>
        <w:t xml:space="preserve"> </w:t>
      </w:r>
      <w:r>
        <w:t xml:space="preserve">“Fitness Consequences of Structural Variation Inferred from a House Finch Pangenome.”</w:t>
      </w:r>
      <w:r>
        <w:t xml:space="preserve"> </w:t>
      </w:r>
      <w:r>
        <w:rPr>
          <w:i/>
          <w:iCs/>
        </w:rPr>
        <w:t xml:space="preserve">Proceedings of the National Academy of Sciences</w:t>
      </w:r>
      <w:r>
        <w:t xml:space="preserve"> </w:t>
      </w:r>
      <w:r>
        <w:t xml:space="preserve">121 (47): e2409943121.</w:t>
      </w:r>
    </w:p>
    <w:bookmarkEnd w:id="93"/>
    <w:bookmarkStart w:id="94" w:name="ref-feng2024integrating"/>
    <w:p>
      <w:pPr>
        <w:pStyle w:val="Bibliography"/>
      </w:pPr>
      <w:r>
        <w:t xml:space="preserve">Feng, Jiajun, Xuming Dan, Yangkai Cui, Yi Gong, Minyue Peng, Yupeng Sang, Pär K Ingvarsson, and Jing Wang. 2024.</w:t>
      </w:r>
      <w:r>
        <w:t xml:space="preserve"> </w:t>
      </w:r>
      <w:r>
        <w:t xml:space="preserve">“Integrating Evolutionary Genomics of Forest Trees to Inform Future Tree Breeding Amid Rapid Climate Change.”</w:t>
      </w:r>
      <w:r>
        <w:t xml:space="preserve"> </w:t>
      </w:r>
      <w:r>
        <w:rPr>
          <w:i/>
          <w:iCs/>
        </w:rPr>
        <w:t xml:space="preserve">Plant Communications</w:t>
      </w:r>
      <w:r>
        <w:t xml:space="preserve"> </w:t>
      </w:r>
      <w:r>
        <w:t xml:space="preserve">5 (10).</w:t>
      </w:r>
    </w:p>
    <w:bookmarkEnd w:id="94"/>
    <w:bookmarkStart w:id="95" w:name="ref-ferguson2024exploring"/>
    <w:p>
      <w:pPr>
        <w:pStyle w:val="Bibliography"/>
      </w:pPr>
      <w:r>
        <w:t xml:space="preserve">Ferguson, Scott, Ashley Jones, Kevin Murray, Rose L Andrew, Benjamin Schwessinger, Helen Bothwell, and Justin Borevitz. 2024.</w:t>
      </w:r>
      <w:r>
        <w:t xml:space="preserve"> </w:t>
      </w:r>
      <w:r>
        <w:t xml:space="preserve">“Exploring the Role of Polymorphic Interspecies Structural Variants in Reproductive Isolation and Adaptive Divergence in Eucalyptus.”</w:t>
      </w:r>
      <w:r>
        <w:t xml:space="preserve"> </w:t>
      </w:r>
      <w:r>
        <w:rPr>
          <w:i/>
          <w:iCs/>
        </w:rPr>
        <w:t xml:space="preserve">GigaScience</w:t>
      </w:r>
      <w:r>
        <w:t xml:space="preserve"> </w:t>
      </w:r>
      <w:r>
        <w:t xml:space="preserve">13: giae029.</w:t>
      </w:r>
    </w:p>
    <w:bookmarkEnd w:id="95"/>
    <w:bookmarkStart w:id="96" w:name="ref-fetter2023admixture"/>
    <w:p>
      <w:pPr>
        <w:pStyle w:val="Bibliography"/>
      </w:pPr>
      <w:r>
        <w:t xml:space="preserve">Fetter, Karl C, and Stephen R Keller. 2023.</w:t>
      </w:r>
      <w:r>
        <w:t xml:space="preserve"> </w:t>
      </w:r>
      <w:r>
        <w:t xml:space="preserve">“Admixture Mapping and Selection Scans Identify Genomic Regions Associated with Stomatal Patterning and Disease Resistance in Hybrid Poplars.”</w:t>
      </w:r>
      <w:r>
        <w:t xml:space="preserve"> </w:t>
      </w:r>
      <w:r>
        <w:rPr>
          <w:i/>
          <w:iCs/>
        </w:rPr>
        <w:t xml:space="preserve">Ecology and Evolution</w:t>
      </w:r>
      <w:r>
        <w:t xml:space="preserve"> </w:t>
      </w:r>
      <w:r>
        <w:t xml:space="preserve">13 (10): e10579.</w:t>
      </w:r>
    </w:p>
    <w:bookmarkEnd w:id="96"/>
    <w:bookmarkStart w:id="97" w:name="ref-gaczorek2024widespread"/>
    <w:p>
      <w:pPr>
        <w:pStyle w:val="Bibliography"/>
      </w:pPr>
      <w:r>
        <w:t xml:space="preserve">Gaczorek, T, K Dudek, U Fritz, L Bahri-Sfar, SJE Baird, F Bonhomme, C Dufresnes, et al. 2024.</w:t>
      </w:r>
      <w:r>
        <w:t xml:space="preserve"> </w:t>
      </w:r>
      <w:r>
        <w:t xml:space="preserve">“Widespread Adaptive Introgression of Major Histocompatibility Complex Genes Across Vertebrate Hybrid Zones.”</w:t>
      </w:r>
      <w:r>
        <w:t xml:space="preserve"> </w:t>
      </w:r>
      <w:r>
        <w:rPr>
          <w:i/>
          <w:iCs/>
        </w:rPr>
        <w:t xml:space="preserve">Molecular Biology and Evolution</w:t>
      </w:r>
      <w:r>
        <w:t xml:space="preserve"> </w:t>
      </w:r>
      <w:r>
        <w:t xml:space="preserve">41 (10): msae201.</w:t>
      </w:r>
    </w:p>
    <w:bookmarkEnd w:id="97"/>
    <w:bookmarkStart w:id="98" w:name="ref-gao2019tomato"/>
    <w:p>
      <w:pPr>
        <w:pStyle w:val="Bibliography"/>
      </w:pPr>
      <w:r>
        <w:t xml:space="preserve">Gao, Lei, Itay Gonda, Honghe Sun, Qiyue Ma, Kan Bao, Denise M Tieman, Elizabeth A Burzynski-Chang, et al. 2019.</w:t>
      </w:r>
      <w:r>
        <w:t xml:space="preserve"> </w:t>
      </w:r>
      <w:r>
        <w:t xml:space="preserve">“The Tomato Pan-Genome Uncovers New Genes and a Rare Allele Regulating Fruit Flavor.”</w:t>
      </w:r>
      <w:r>
        <w:t xml:space="preserve"> </w:t>
      </w:r>
      <w:r>
        <w:rPr>
          <w:i/>
          <w:iCs/>
        </w:rPr>
        <w:t xml:space="preserve">Nature Genetics</w:t>
      </w:r>
      <w:r>
        <w:t xml:space="preserve"> </w:t>
      </w:r>
      <w:r>
        <w:t xml:space="preserve">51 (6): 1044–51.</w:t>
      </w:r>
    </w:p>
    <w:bookmarkEnd w:id="98"/>
    <w:bookmarkStart w:id="100" w:name="ref-garrison2018"/>
    <w:p>
      <w:pPr>
        <w:pStyle w:val="Bibliography"/>
      </w:pPr>
      <w:r>
        <w:t xml:space="preserve">Garrison, Erik, Jouni Sirén, Adam M Novak, Glenn Hickey, Jordan M Eizenga, Eric T Dawson, William Jones, et al. 2018.</w:t>
      </w:r>
      <w:r>
        <w:t xml:space="preserve"> </w:t>
      </w:r>
      <w:r>
        <w:t xml:space="preserve">“Variation Graph Toolkit Improves Read Mapping by Representing Genetic Variation in the Reference.”</w:t>
      </w:r>
      <w:r>
        <w:t xml:space="preserve"> </w:t>
      </w:r>
      <w:r>
        <w:rPr>
          <w:i/>
          <w:iCs/>
        </w:rPr>
        <w:t xml:space="preserve">Nature Biotechnology</w:t>
      </w:r>
      <w:r>
        <w:t xml:space="preserve"> </w:t>
      </w:r>
      <w:r>
        <w:t xml:space="preserve">36 (9): 875–79.</w:t>
      </w:r>
      <w:r>
        <w:t xml:space="preserve"> </w:t>
      </w:r>
      <w:hyperlink r:id="rId99">
        <w:r>
          <w:rPr>
            <w:rStyle w:val="Hyperlink"/>
          </w:rPr>
          <w:t xml:space="preserve">https://doi.org/10.1038/nbt.4227</w:t>
        </w:r>
      </w:hyperlink>
      <w:r>
        <w:t xml:space="preserve">.</w:t>
      </w:r>
    </w:p>
    <w:bookmarkEnd w:id="100"/>
    <w:bookmarkStart w:id="101" w:name="ref-geraldes2014landscape"/>
    <w:p>
      <w:pPr>
        <w:pStyle w:val="Bibliography"/>
      </w:pPr>
      <w:r>
        <w:t xml:space="preserve">Geraldes, Armando, Nima Farzaneh, Christopher J Grassa, Athena D McKown, Robert D Guy, Shawn D Mansfield, Carl J Douglas, and Quentin CB Cronk. 2014.</w:t>
      </w:r>
      <w:r>
        <w:t xml:space="preserve"> </w:t>
      </w:r>
      <w:r>
        <w:t xml:space="preserve">“Landscape Genomics of Populus Trichocarpa: The Role of Hybridization, Limited Gene Flow, and Natural Selection in Shaping Patterns of Population Structure.”</w:t>
      </w:r>
      <w:r>
        <w:t xml:space="preserve"> </w:t>
      </w:r>
      <w:r>
        <w:rPr>
          <w:i/>
          <w:iCs/>
        </w:rPr>
        <w:t xml:space="preserve">Evolution</w:t>
      </w:r>
      <w:r>
        <w:t xml:space="preserve"> </w:t>
      </w:r>
      <w:r>
        <w:t xml:space="preserve">68 (11): 3260–80.</w:t>
      </w:r>
    </w:p>
    <w:bookmarkEnd w:id="101"/>
    <w:bookmarkStart w:id="102" w:name="ref-gurevich2013quast"/>
    <w:p>
      <w:pPr>
        <w:pStyle w:val="Bibliography"/>
      </w:pPr>
      <w:r>
        <w:t xml:space="preserve">Gurevich, Alexey, Vladislav Saveliev, Nikolay Vyahhi, and Glenn Tesler. 2013.</w:t>
      </w:r>
      <w:r>
        <w:t xml:space="preserve"> </w:t>
      </w:r>
      <w:r>
        <w:t xml:space="preserve">“QUAST: Quality Assessment Tool for Genome Assemblies.”</w:t>
      </w:r>
      <w:r>
        <w:t xml:space="preserve"> </w:t>
      </w:r>
      <w:r>
        <w:rPr>
          <w:i/>
          <w:iCs/>
        </w:rPr>
        <w:t xml:space="preserve">Bioinformatics</w:t>
      </w:r>
      <w:r>
        <w:t xml:space="preserve"> </w:t>
      </w:r>
      <w:r>
        <w:t xml:space="preserve">29 (8): 1072–75.</w:t>
      </w:r>
    </w:p>
    <w:bookmarkEnd w:id="102"/>
    <w:bookmarkStart w:id="103" w:name="ref-hamala2021genomic"/>
    <w:p>
      <w:pPr>
        <w:pStyle w:val="Bibliography"/>
      </w:pPr>
      <w:r>
        <w:t xml:space="preserve">Hämälä, Tuomas, Eric K Wafula, Mark J Guiltinan, Paula E Ralph, Claude W Depamphilis, and Peter Tiffin. 2021.</w:t>
      </w:r>
      <w:r>
        <w:t xml:space="preserve"> </w:t>
      </w:r>
      <w:r>
        <w:t xml:space="preserve">“Genomic Structural Variants Constrain and Facilitate Adaptation in Natural Populations of Theobroma Cacao, the Chocolate Tree.”</w:t>
      </w:r>
      <w:r>
        <w:t xml:space="preserve"> </w:t>
      </w:r>
      <w:r>
        <w:rPr>
          <w:i/>
          <w:iCs/>
        </w:rPr>
        <w:t xml:space="preserve">Proceedings of the National Academy of Sciences</w:t>
      </w:r>
      <w:r>
        <w:t xml:space="preserve"> </w:t>
      </w:r>
      <w:r>
        <w:t xml:space="preserve">118 (35): e2102914118.</w:t>
      </w:r>
    </w:p>
    <w:bookmarkEnd w:id="103"/>
    <w:bookmarkStart w:id="104" w:name="ref-hamilton2016adaptive"/>
    <w:p>
      <w:pPr>
        <w:pStyle w:val="Bibliography"/>
      </w:pPr>
      <w:r>
        <w:t xml:space="preserve">Hamilton, Jill A, and Joshua M Miller. 2016.</w:t>
      </w:r>
      <w:r>
        <w:t xml:space="preserve"> </w:t>
      </w:r>
      <w:r>
        <w:t xml:space="preserve">“Adaptive Introgression as a Resource for Management and Genetic Conservation in a Changing Climate.”</w:t>
      </w:r>
      <w:r>
        <w:t xml:space="preserve"> </w:t>
      </w:r>
      <w:r>
        <w:rPr>
          <w:i/>
          <w:iCs/>
        </w:rPr>
        <w:t xml:space="preserve">Conservation Biology</w:t>
      </w:r>
      <w:r>
        <w:t xml:space="preserve"> </w:t>
      </w:r>
      <w:r>
        <w:t xml:space="preserve">30 (1): 33–41.</w:t>
      </w:r>
    </w:p>
    <w:bookmarkEnd w:id="104"/>
    <w:bookmarkStart w:id="105" w:name="ref-hedrick2013adaptive"/>
    <w:p>
      <w:pPr>
        <w:pStyle w:val="Bibliography"/>
      </w:pPr>
      <w:r>
        <w:t xml:space="preserve">Hedrick, Philip W. 2013.</w:t>
      </w:r>
      <w:r>
        <w:t xml:space="preserve"> </w:t>
      </w:r>
      <w:r>
        <w:t xml:space="preserve">“Adaptive Introgression in Animals: Examples and Comparison to New Mutation and Standing Variation as Sources of Adaptive Variation.”</w:t>
      </w:r>
      <w:r>
        <w:t xml:space="preserve"> </w:t>
      </w:r>
      <w:r>
        <w:rPr>
          <w:i/>
          <w:iCs/>
        </w:rPr>
        <w:t xml:space="preserve">Molecular Ecology</w:t>
      </w:r>
      <w:r>
        <w:t xml:space="preserve"> </w:t>
      </w:r>
      <w:r>
        <w:t xml:space="preserve">22 (18): 4606–18.</w:t>
      </w:r>
    </w:p>
    <w:bookmarkEnd w:id="105"/>
    <w:bookmarkStart w:id="107" w:name="ref-hickey2023"/>
    <w:p>
      <w:pPr>
        <w:pStyle w:val="Bibliography"/>
      </w:pPr>
      <w:r>
        <w:t xml:space="preserve">Hickey, Glenn, Jean Monlong, Jana Ebler, Adam M. Novak, Jordan M. Eizenga, Yan Gao, Haley J. Abel, et al. 2023.</w:t>
      </w:r>
      <w:r>
        <w:t xml:space="preserve"> </w:t>
      </w:r>
      <w:r>
        <w:t xml:space="preserve">“Pangenome Graph Construction from Genome Alignments with Minigraph-Cactus.”</w:t>
      </w:r>
      <w:r>
        <w:t xml:space="preserve"> </w:t>
      </w:r>
      <w:r>
        <w:rPr>
          <w:i/>
          <w:iCs/>
        </w:rPr>
        <w:t xml:space="preserve">Nature Biotechnology</w:t>
      </w:r>
      <w:r>
        <w:t xml:space="preserve"> </w:t>
      </w:r>
      <w:r>
        <w:t xml:space="preserve">42 (4): 663–73.</w:t>
      </w:r>
      <w:r>
        <w:t xml:space="preserve"> </w:t>
      </w:r>
      <w:hyperlink r:id="rId106">
        <w:r>
          <w:rPr>
            <w:rStyle w:val="Hyperlink"/>
          </w:rPr>
          <w:t xml:space="preserve">https://doi.org/10.1038/s41587-023-01793-w</w:t>
        </w:r>
      </w:hyperlink>
      <w:r>
        <w:t xml:space="preserve">.</w:t>
      </w:r>
    </w:p>
    <w:bookmarkEnd w:id="107"/>
    <w:bookmarkStart w:id="108" w:name="ref-kang2023pan"/>
    <w:p>
      <w:pPr>
        <w:pStyle w:val="Bibliography"/>
      </w:pPr>
      <w:r>
        <w:t xml:space="preserve">Kang, Minghui, Haolin Wu, Huanhuan Liu, Wenyu Liu, Mingjia Zhu, Yu Han, Wei Liu, et al. 2023.</w:t>
      </w:r>
      <w:r>
        <w:t xml:space="preserve"> </w:t>
      </w:r>
      <w:r>
        <w:t xml:space="preserve">“The Pan-Genome and Local Adaptation of Arabidopsis Thaliana.”</w:t>
      </w:r>
      <w:r>
        <w:t xml:space="preserve"> </w:t>
      </w:r>
      <w:r>
        <w:rPr>
          <w:i/>
          <w:iCs/>
        </w:rPr>
        <w:t xml:space="preserve">Nature Communications</w:t>
      </w:r>
      <w:r>
        <w:t xml:space="preserve"> </w:t>
      </w:r>
      <w:r>
        <w:t xml:space="preserve">14 (1): 6259.</w:t>
      </w:r>
    </w:p>
    <w:bookmarkEnd w:id="108"/>
    <w:bookmarkStart w:id="109" w:name="ref-kou2020evolutionary"/>
    <w:p>
      <w:pPr>
        <w:pStyle w:val="Bibliography"/>
      </w:pPr>
      <w:r>
        <w:t xml:space="preserve">Kou, Yixuan, Yi Liao, Tuomas Toivainen, Yuanda Lv, Xinmin Tian, JJ Emerson, Brandon S Gaut, and Yongfeng Zhou. 2020.</w:t>
      </w:r>
      <w:r>
        <w:t xml:space="preserve"> </w:t>
      </w:r>
      <w:r>
        <w:t xml:space="preserve">“Evolutionary Genomics of Structural Variation in Asian Rice (Oryza Sativa) Domestication.”</w:t>
      </w:r>
      <w:r>
        <w:t xml:space="preserve"> </w:t>
      </w:r>
      <w:r>
        <w:rPr>
          <w:i/>
          <w:iCs/>
        </w:rPr>
        <w:t xml:space="preserve">Molecular Biology and Evolution</w:t>
      </w:r>
      <w:r>
        <w:t xml:space="preserve"> </w:t>
      </w:r>
      <w:r>
        <w:t xml:space="preserve">37 (12): 3507–24.</w:t>
      </w:r>
    </w:p>
    <w:bookmarkEnd w:id="109"/>
    <w:bookmarkStart w:id="110" w:name="ref-kremer2020oaks"/>
    <w:p>
      <w:pPr>
        <w:pStyle w:val="Bibliography"/>
      </w:pPr>
      <w:r>
        <w:t xml:space="preserve">Kremer, Antoine, and Andrew L Hipp. 2020.</w:t>
      </w:r>
      <w:r>
        <w:t xml:space="preserve"> </w:t>
      </w:r>
      <w:r>
        <w:t xml:space="preserve">“Oaks: An Evolutionary Success Story.”</w:t>
      </w:r>
      <w:r>
        <w:t xml:space="preserve"> </w:t>
      </w:r>
      <w:r>
        <w:rPr>
          <w:i/>
          <w:iCs/>
        </w:rPr>
        <w:t xml:space="preserve">New Phytologist</w:t>
      </w:r>
      <w:r>
        <w:t xml:space="preserve"> </w:t>
      </w:r>
      <w:r>
        <w:t xml:space="preserve">226 (4): 987–1011.</w:t>
      </w:r>
    </w:p>
    <w:bookmarkEnd w:id="110"/>
    <w:bookmarkStart w:id="111" w:name="ref-leroy2020adaptive"/>
    <w:p>
      <w:pPr>
        <w:pStyle w:val="Bibliography"/>
      </w:pPr>
      <w:r>
        <w:t xml:space="preserve">Leroy, Thibault, Jean-Marc Louvet, Céline Lalanne, Grégoire Le Provost, Karine Labadie, Jean-Marc Aury, Sylvain Delzon, Christophe Plomion, and Antoine Kremer. 2020.</w:t>
      </w:r>
      <w:r>
        <w:t xml:space="preserve"> </w:t>
      </w:r>
      <w:r>
        <w:t xml:space="preserve">“Adaptive Introgression as a Driver of Local Adaptation to Climate in European White Oaks.”</w:t>
      </w:r>
      <w:r>
        <w:t xml:space="preserve"> </w:t>
      </w:r>
      <w:r>
        <w:rPr>
          <w:i/>
          <w:iCs/>
        </w:rPr>
        <w:t xml:space="preserve">New Phytologist</w:t>
      </w:r>
      <w:r>
        <w:t xml:space="preserve"> </w:t>
      </w:r>
      <w:r>
        <w:t xml:space="preserve">226 (4): 1171–82.</w:t>
      </w:r>
    </w:p>
    <w:bookmarkEnd w:id="111"/>
    <w:bookmarkStart w:id="112" w:name="ref-lexer2005barrier"/>
    <w:p>
      <w:pPr>
        <w:pStyle w:val="Bibliography"/>
      </w:pPr>
      <w:r>
        <w:t xml:space="preserve">Lexer, C, MF Fay, JA Joseph, M-S Nica, and B Heinze. 2005.</w:t>
      </w:r>
      <w:r>
        <w:t xml:space="preserve"> </w:t>
      </w:r>
      <w:r>
        <w:t xml:space="preserve">“Barrier to Gene Flow Between Two Ecologically Divergent Populus Species, p. Alba (White Poplar) and p. Tremula (European Aspen): The Role of Ecology and Life History in Gene Introgression.”</w:t>
      </w:r>
      <w:r>
        <w:t xml:space="preserve"> </w:t>
      </w:r>
      <w:r>
        <w:rPr>
          <w:i/>
          <w:iCs/>
        </w:rPr>
        <w:t xml:space="preserve">Molecular Ecology</w:t>
      </w:r>
      <w:r>
        <w:t xml:space="preserve"> </w:t>
      </w:r>
      <w:r>
        <w:t xml:space="preserve">14 (4): 1045–57.</w:t>
      </w:r>
    </w:p>
    <w:bookmarkEnd w:id="112"/>
    <w:bookmarkStart w:id="113" w:name="ref-li2018minimap2"/>
    <w:p>
      <w:pPr>
        <w:pStyle w:val="Bibliography"/>
      </w:pPr>
      <w:r>
        <w:t xml:space="preserve">Li, Heng. 2018.</w:t>
      </w:r>
      <w:r>
        <w:t xml:space="preserve"> </w:t>
      </w:r>
      <w:r>
        <w:t xml:space="preserve">“Minimap2: Pairwise Alignment for Nucleotide Sequences.”</w:t>
      </w:r>
      <w:r>
        <w:t xml:space="preserve"> </w:t>
      </w:r>
      <w:r>
        <w:rPr>
          <w:i/>
          <w:iCs/>
        </w:rPr>
        <w:t xml:space="preserve">Bioinformatics</w:t>
      </w:r>
      <w:r>
        <w:t xml:space="preserve"> </w:t>
      </w:r>
      <w:r>
        <w:t xml:space="preserve">34 (18): 3094–3100.</w:t>
      </w:r>
    </w:p>
    <w:bookmarkEnd w:id="113"/>
    <w:bookmarkStart w:id="114" w:name="ref-li2010fast"/>
    <w:p>
      <w:pPr>
        <w:pStyle w:val="Bibliography"/>
      </w:pPr>
      <w:r>
        <w:t xml:space="preserve">Li, Heng, and Richard Durbin. 2010.</w:t>
      </w:r>
      <w:r>
        <w:t xml:space="preserve"> </w:t>
      </w:r>
      <w:r>
        <w:t xml:space="preserve">“Fast and Accurate Long-Read Alignment with Burrows–Wheeler Transform.”</w:t>
      </w:r>
      <w:r>
        <w:t xml:space="preserve"> </w:t>
      </w:r>
      <w:r>
        <w:rPr>
          <w:i/>
          <w:iCs/>
        </w:rPr>
        <w:t xml:space="preserve">Bioinformatics</w:t>
      </w:r>
      <w:r>
        <w:t xml:space="preserve"> </w:t>
      </w:r>
      <w:r>
        <w:t xml:space="preserve">26 (5): 589–95.</w:t>
      </w:r>
    </w:p>
    <w:bookmarkEnd w:id="114"/>
    <w:bookmarkStart w:id="115" w:name="ref-li2023identification"/>
    <w:p>
      <w:pPr>
        <w:pStyle w:val="Bibliography"/>
      </w:pPr>
      <w:r>
        <w:t xml:space="preserve">Li, Kunpeng, Peng Xu, Jinpeng Wang, Xin Yi, and Yuannian Jiao. 2023.</w:t>
      </w:r>
      <w:r>
        <w:t xml:space="preserve"> </w:t>
      </w:r>
      <w:r>
        <w:t xml:space="preserve">“Identification of Errors in Draft Genome Assemblies at Single-Nucleotide Resolution for Quality Assessment and Improvement.”</w:t>
      </w:r>
      <w:r>
        <w:t xml:space="preserve"> </w:t>
      </w:r>
      <w:r>
        <w:rPr>
          <w:i/>
          <w:iCs/>
        </w:rPr>
        <w:t xml:space="preserve">Nature Communications</w:t>
      </w:r>
      <w:r>
        <w:t xml:space="preserve"> </w:t>
      </w:r>
      <w:r>
        <w:t xml:space="preserve">14 (1): 6556.</w:t>
      </w:r>
    </w:p>
    <w:bookmarkEnd w:id="115"/>
    <w:bookmarkStart w:id="116" w:name="ref-li2024pan"/>
    <w:p>
      <w:pPr>
        <w:pStyle w:val="Bibliography"/>
      </w:pPr>
      <w:r>
        <w:t xml:space="preserve">Li, Yancan, Jun Yao, Huiling Sang, Quangui Wang, Long Su, Xiaomeng Zhao, Zhenyu Xia, et al. 2024.</w:t>
      </w:r>
      <w:r>
        <w:t xml:space="preserve"> </w:t>
      </w:r>
      <w:r>
        <w:t xml:space="preserve">“Pan-Genome Analysis Highlights the Role of Structural Variation in the Evolution and Environmental Adaptation of Asian Honeybees.”</w:t>
      </w:r>
      <w:r>
        <w:t xml:space="preserve"> </w:t>
      </w:r>
      <w:r>
        <w:rPr>
          <w:i/>
          <w:iCs/>
        </w:rPr>
        <w:t xml:space="preserve">Molecular Ecology Resources</w:t>
      </w:r>
      <w:r>
        <w:t xml:space="preserve"> </w:t>
      </w:r>
      <w:r>
        <w:t xml:space="preserve">24 (2): e13905.</w:t>
      </w:r>
    </w:p>
    <w:bookmarkEnd w:id="116"/>
    <w:bookmarkStart w:id="117" w:name="ref-li2023pig"/>
    <w:p>
      <w:pPr>
        <w:pStyle w:val="Bibliography"/>
      </w:pPr>
      <w:r>
        <w:t xml:space="preserve">Li, Zhengcao, Xiaohong Liu, Chen Wang, Zhenyang Li, Bo Jiang, Ruifeng Zhang, Lu Tong, et al. 2023.</w:t>
      </w:r>
      <w:r>
        <w:t xml:space="preserve"> </w:t>
      </w:r>
      <w:r>
        <w:t xml:space="preserve">“The Pig Pangenome Provides Insights into the Roles of Coding Structural Variations in Genetic Diversity and Adaptation.”</w:t>
      </w:r>
      <w:r>
        <w:t xml:space="preserve"> </w:t>
      </w:r>
      <w:r>
        <w:rPr>
          <w:i/>
          <w:iCs/>
        </w:rPr>
        <w:t xml:space="preserve">Genome Research</w:t>
      </w:r>
      <w:r>
        <w:t xml:space="preserve"> </w:t>
      </w:r>
      <w:r>
        <w:t xml:space="preserve">33 (10): 1833–47.</w:t>
      </w:r>
    </w:p>
    <w:bookmarkEnd w:id="117"/>
    <w:bookmarkStart w:id="119" w:name="ref-liang2025"/>
    <w:p>
      <w:pPr>
        <w:pStyle w:val="Bibliography"/>
      </w:pPr>
      <w:r>
        <w:t xml:space="preserve">Liang, Yi-Ye, Hui Liu, Qiong-Qiong Lin, Yong Shi, Biao-Feng Zhou, Jing-Shu Wang, Xue-Yan Chen, et al. 2025.</w:t>
      </w:r>
      <w:r>
        <w:t xml:space="preserve"> </w:t>
      </w:r>
      <w:r>
        <w:t xml:space="preserve">“Pan-Genome Analysis Reveals Local Adaptation to Climate Driven by Introgression in Oak Species.”</w:t>
      </w:r>
      <w:r>
        <w:t xml:space="preserve"> </w:t>
      </w:r>
      <w:r>
        <w:rPr>
          <w:i/>
          <w:iCs/>
        </w:rPr>
        <w:t xml:space="preserve">Molecular Biology and Evolution</w:t>
      </w:r>
      <w:r>
        <w:t xml:space="preserve"> </w:t>
      </w:r>
      <w:r>
        <w:t xml:space="preserve">42 (5): msaf088.</w:t>
      </w:r>
      <w:r>
        <w:t xml:space="preserve"> </w:t>
      </w:r>
      <w:hyperlink r:id="rId118">
        <w:r>
          <w:rPr>
            <w:rStyle w:val="Hyperlink"/>
          </w:rPr>
          <w:t xml:space="preserve">https://doi.org/10.1093/molbev/msaf088</w:t>
        </w:r>
      </w:hyperlink>
      <w:r>
        <w:t xml:space="preserve">.</w:t>
      </w:r>
    </w:p>
    <w:bookmarkEnd w:id="119"/>
    <w:bookmarkStart w:id="121" w:name="ref-lu2022"/>
    <w:p>
      <w:pPr>
        <w:pStyle w:val="Bibliography"/>
      </w:pPr>
      <w:r>
        <w:t xml:space="preserve">Lu, Jennifer, Natalia Rincon, Derrick E. Wood, Florian P. Breitwieser, Christopher Pockrandt, Ben Langmead, Steven L. Salzberg, and Martin Steinegger. 2022.</w:t>
      </w:r>
      <w:r>
        <w:t xml:space="preserve"> </w:t>
      </w:r>
      <w:r>
        <w:t xml:space="preserve">“Metagenome Analysis Using the Kraken Software Suite.”</w:t>
      </w:r>
      <w:r>
        <w:t xml:space="preserve"> </w:t>
      </w:r>
      <w:r>
        <w:rPr>
          <w:i/>
          <w:iCs/>
        </w:rPr>
        <w:t xml:space="preserve">Nature Protocols</w:t>
      </w:r>
      <w:r>
        <w:t xml:space="preserve"> </w:t>
      </w:r>
      <w:r>
        <w:t xml:space="preserve">17 (12): 2815–39.</w:t>
      </w:r>
      <w:r>
        <w:t xml:space="preserve"> </w:t>
      </w:r>
      <w:hyperlink r:id="rId120">
        <w:r>
          <w:rPr>
            <w:rStyle w:val="Hyperlink"/>
          </w:rPr>
          <w:t xml:space="preserve">https://doi.org/10.1038/s41596-022-00738-y</w:t>
        </w:r>
      </w:hyperlink>
      <w:r>
        <w:t xml:space="preserve">.</w:t>
      </w:r>
    </w:p>
    <w:bookmarkEnd w:id="121"/>
    <w:bookmarkStart w:id="122" w:name="ref-meirmans2017history"/>
    <w:p>
      <w:pPr>
        <w:pStyle w:val="Bibliography"/>
      </w:pPr>
      <w:r>
        <w:t xml:space="preserve">Meirmans, PG, J Godbout, M Lamothe, SL Thompson, and N Isabel. 2017.</w:t>
      </w:r>
      <w:r>
        <w:t xml:space="preserve"> </w:t>
      </w:r>
      <w:r>
        <w:t xml:space="preserve">“History Rather Than Hybridization Determines Population Structure and Adaptation in Populus Balsamifera.”</w:t>
      </w:r>
      <w:r>
        <w:t xml:space="preserve"> </w:t>
      </w:r>
      <w:r>
        <w:rPr>
          <w:i/>
          <w:iCs/>
        </w:rPr>
        <w:t xml:space="preserve">Journal of Evolutionary Biology</w:t>
      </w:r>
      <w:r>
        <w:t xml:space="preserve"> </w:t>
      </w:r>
      <w:r>
        <w:t xml:space="preserve">30 (11): 2044–58.</w:t>
      </w:r>
    </w:p>
    <w:bookmarkEnd w:id="122"/>
    <w:bookmarkStart w:id="123" w:name="ref-nurk2020hicanu"/>
    <w:p>
      <w:pPr>
        <w:pStyle w:val="Bibliography"/>
      </w:pPr>
      <w:r>
        <w:t xml:space="preserve">Nurk, Sergey, Brian P Walenz, Arang Rhie, Mitchell R Vollger, Glennis A Logsdon, Robert Grothe, Karen H Miga, Evan E Eichler, Adam M Phillippy, and Sergey Koren. 2020.</w:t>
      </w:r>
      <w:r>
        <w:t xml:space="preserve"> </w:t>
      </w:r>
      <w:r>
        <w:t xml:space="preserve">“HiCanu: Accurate Assembly of Segmental Duplications, Satellites, and Allelic Variants from High-Fidelity Long Reads.”</w:t>
      </w:r>
      <w:r>
        <w:t xml:space="preserve"> </w:t>
      </w:r>
      <w:r>
        <w:rPr>
          <w:i/>
          <w:iCs/>
        </w:rPr>
        <w:t xml:space="preserve">Genome Research</w:t>
      </w:r>
      <w:r>
        <w:t xml:space="preserve"> </w:t>
      </w:r>
      <w:r>
        <w:t xml:space="preserve">30 (9): 1291–1305.</w:t>
      </w:r>
    </w:p>
    <w:bookmarkEnd w:id="123"/>
    <w:bookmarkStart w:id="125" w:name="ref-parmigiani2024"/>
    <w:p>
      <w:pPr>
        <w:pStyle w:val="Bibliography"/>
      </w:pPr>
      <w:r>
        <w:t xml:space="preserve">Parmigiani, Luca, Erik Garrison, Jens Stoye, Tobias Marschall, and Daniel Doerr. 2024.</w:t>
      </w:r>
      <w:r>
        <w:t xml:space="preserve"> </w:t>
      </w:r>
      <w:r>
        <w:t xml:space="preserve">“Panacus: Fast and Exact Pangenome Growth and Core Size Estimation.”</w:t>
      </w:r>
      <w:r>
        <w:t xml:space="preserve"> </w:t>
      </w:r>
      <w:r>
        <w:t xml:space="preserve">Edited by Janet Kelso.</w:t>
      </w:r>
      <w:r>
        <w:t xml:space="preserve"> </w:t>
      </w:r>
      <w:r>
        <w:rPr>
          <w:i/>
          <w:iCs/>
        </w:rPr>
        <w:t xml:space="preserve">Bioinformatics</w:t>
      </w:r>
      <w:r>
        <w:t xml:space="preserve">, November.</w:t>
      </w:r>
      <w:r>
        <w:t xml:space="preserve"> </w:t>
      </w:r>
      <w:hyperlink r:id="rId124">
        <w:r>
          <w:rPr>
            <w:rStyle w:val="Hyperlink"/>
          </w:rPr>
          <w:t xml:space="preserve">https://doi.org/10.1093/bioinformatics/btae720</w:t>
        </w:r>
      </w:hyperlink>
      <w:r>
        <w:t xml:space="preserve">.</w:t>
      </w:r>
    </w:p>
    <w:bookmarkEnd w:id="125"/>
    <w:bookmarkStart w:id="126" w:name="ref-qiao2021evolutionary"/>
    <w:p>
      <w:pPr>
        <w:pStyle w:val="Bibliography"/>
      </w:pPr>
      <w:r>
        <w:t xml:space="preserve">Qiao, Qin, Patrick P Edger, Li Xue, La Qiong, Jie Lu, Yichen Zhang, Qiang Cao, et al. 2021.</w:t>
      </w:r>
      <w:r>
        <w:t xml:space="preserve"> </w:t>
      </w:r>
      <w:r>
        <w:t xml:space="preserve">“Evolutionary History and Pan-Genome Dynamics of Strawberry (Fragaria Spp.).”</w:t>
      </w:r>
      <w:r>
        <w:t xml:space="preserve"> </w:t>
      </w:r>
      <w:r>
        <w:rPr>
          <w:i/>
          <w:iCs/>
        </w:rPr>
        <w:t xml:space="preserve">Proceedings of the National Academy of Sciences</w:t>
      </w:r>
      <w:r>
        <w:t xml:space="preserve"> </w:t>
      </w:r>
      <w:r>
        <w:t xml:space="preserve">118 (45): e2105431118.</w:t>
      </w:r>
    </w:p>
    <w:bookmarkEnd w:id="126"/>
    <w:bookmarkStart w:id="127" w:name="ref-quinlan2010bedtools"/>
    <w:p>
      <w:pPr>
        <w:pStyle w:val="Bibliography"/>
      </w:pPr>
      <w:r>
        <w:t xml:space="preserve">Quinlan, Aaron R, and Ira M Hall. 2010.</w:t>
      </w:r>
      <w:r>
        <w:t xml:space="preserve"> </w:t>
      </w:r>
      <w:r>
        <w:t xml:space="preserve">“BEDTools: A Flexible Suite of Utilities for Comparing Genomic Features.”</w:t>
      </w:r>
      <w:r>
        <w:t xml:space="preserve"> </w:t>
      </w:r>
      <w:r>
        <w:rPr>
          <w:i/>
          <w:iCs/>
        </w:rPr>
        <w:t xml:space="preserve">Bioinformatics</w:t>
      </w:r>
      <w:r>
        <w:t xml:space="preserve"> </w:t>
      </w:r>
      <w:r>
        <w:t xml:space="preserve">26 (6): 841–42.</w:t>
      </w:r>
    </w:p>
    <w:bookmarkEnd w:id="127"/>
    <w:bookmarkStart w:id="129" w:name="ref-R"/>
    <w:p>
      <w:pPr>
        <w:pStyle w:val="Bibliography"/>
      </w:pPr>
      <w:r>
        <w:t xml:space="preserve">R Core Team. 2024.</w:t>
      </w:r>
      <w:r>
        <w:t xml:space="preserve"> </w:t>
      </w:r>
      <w:r>
        <w:rPr>
          <w:i/>
          <w:iCs/>
        </w:rPr>
        <w:t xml:space="preserve">R: A Language and Environment for Statistical Computing</w:t>
      </w:r>
      <w:r>
        <w:t xml:space="preserve">. Vienna, Austria: R Foundation for Statistical Computing.</w:t>
      </w:r>
      <w:r>
        <w:t xml:space="preserve"> </w:t>
      </w:r>
      <w:hyperlink r:id="rId128">
        <w:r>
          <w:rPr>
            <w:rStyle w:val="Hyperlink"/>
          </w:rPr>
          <w:t xml:space="preserve">https://www.R-project.org/</w:t>
        </w:r>
      </w:hyperlink>
      <w:r>
        <w:t xml:space="preserve">.</w:t>
      </w:r>
    </w:p>
    <w:bookmarkEnd w:id="129"/>
    <w:bookmarkStart w:id="130" w:name="ref-racimo2015evidence"/>
    <w:p>
      <w:pPr>
        <w:pStyle w:val="Bibliography"/>
      </w:pPr>
      <w:r>
        <w:t xml:space="preserve">Racimo, Fernando, Sriram Sankararaman, Rasmus Nielsen, and Emilia Huerta-Sánchez. 2015.</w:t>
      </w:r>
      <w:r>
        <w:t xml:space="preserve"> </w:t>
      </w:r>
      <w:r>
        <w:t xml:space="preserve">“Evidence for Archaic Adaptive Introgression in Humans.”</w:t>
      </w:r>
      <w:r>
        <w:t xml:space="preserve"> </w:t>
      </w:r>
      <w:r>
        <w:rPr>
          <w:i/>
          <w:iCs/>
        </w:rPr>
        <w:t xml:space="preserve">Nature Reviews Genetics</w:t>
      </w:r>
      <w:r>
        <w:t xml:space="preserve"> </w:t>
      </w:r>
      <w:r>
        <w:t xml:space="preserve">16 (6): 359–71.</w:t>
      </w:r>
    </w:p>
    <w:bookmarkEnd w:id="130"/>
    <w:bookmarkStart w:id="132" w:name="ref-rautiainen2020"/>
    <w:p>
      <w:pPr>
        <w:pStyle w:val="Bibliography"/>
      </w:pPr>
      <w:r>
        <w:t xml:space="preserve">Rautiainen, Mikko, and Tobias Marschall. 2020.</w:t>
      </w:r>
      <w:r>
        <w:t xml:space="preserve"> </w:t>
      </w:r>
      <w:r>
        <w:t xml:space="preserve">“GraphAligner: Rapid and Versatile Sequence-to-Graph Alignment.”</w:t>
      </w:r>
      <w:r>
        <w:t xml:space="preserve"> </w:t>
      </w:r>
      <w:r>
        <w:rPr>
          <w:i/>
          <w:iCs/>
        </w:rPr>
        <w:t xml:space="preserve">Genome Biology</w:t>
      </w:r>
      <w:r>
        <w:t xml:space="preserve"> </w:t>
      </w:r>
      <w:r>
        <w:t xml:space="preserve">21 (1).</w:t>
      </w:r>
      <w:r>
        <w:t xml:space="preserve"> </w:t>
      </w:r>
      <w:hyperlink r:id="rId131">
        <w:r>
          <w:rPr>
            <w:rStyle w:val="Hyperlink"/>
          </w:rPr>
          <w:t xml:space="preserve">https://doi.org/10.1186/s13059-020-02157-2</w:t>
        </w:r>
      </w:hyperlink>
      <w:r>
        <w:t xml:space="preserve">.</w:t>
      </w:r>
    </w:p>
    <w:bookmarkEnd w:id="132"/>
    <w:bookmarkStart w:id="133" w:name="ref-rendon2021adaptive"/>
    <w:p>
      <w:pPr>
        <w:pStyle w:val="Bibliography"/>
      </w:pPr>
      <w:r>
        <w:t xml:space="preserve">Rendón-Anaya, Martha, Jonathan Wilson, Sæmundur Sveinsson, Aleksey Fedorkov, Joan Cottrell, Mark ES Bailey, Dainis Ruņǵis, et al. 2021.</w:t>
      </w:r>
      <w:r>
        <w:t xml:space="preserve"> </w:t>
      </w:r>
      <w:r>
        <w:t xml:space="preserve">“Adaptive Introgression Facilitates Adaptation to High Latitudes in European Aspen (Populus Tremula l.).”</w:t>
      </w:r>
      <w:r>
        <w:t xml:space="preserve"> </w:t>
      </w:r>
      <w:r>
        <w:rPr>
          <w:i/>
          <w:iCs/>
        </w:rPr>
        <w:t xml:space="preserve">Molecular Biology and Evolution</w:t>
      </w:r>
      <w:r>
        <w:t xml:space="preserve"> </w:t>
      </w:r>
      <w:r>
        <w:t xml:space="preserve">38 (11): 5034–50.</w:t>
      </w:r>
    </w:p>
    <w:bookmarkEnd w:id="133"/>
    <w:bookmarkStart w:id="134" w:name="ref-savolainen2007gene"/>
    <w:p>
      <w:pPr>
        <w:pStyle w:val="Bibliography"/>
      </w:pPr>
      <w:r>
        <w:t xml:space="preserve">Savolainen, Outi, Tanja Pyhäjärvi, and Timo Knürr. 2007.</w:t>
      </w:r>
      <w:r>
        <w:t xml:space="preserve"> </w:t>
      </w:r>
      <w:r>
        <w:t xml:space="preserve">“Gene Flow and Local Adaptation in Trees.”</w:t>
      </w:r>
      <w:r>
        <w:t xml:space="preserve"> </w:t>
      </w:r>
      <w:r>
        <w:rPr>
          <w:i/>
          <w:iCs/>
        </w:rPr>
        <w:t xml:space="preserve">Annu. Rev. Ecol. Evol. Syst.</w:t>
      </w:r>
      <w:r>
        <w:t xml:space="preserve"> </w:t>
      </w:r>
      <w:r>
        <w:t xml:space="preserve">38 (1): 595–619.</w:t>
      </w:r>
    </w:p>
    <w:bookmarkEnd w:id="134"/>
    <w:bookmarkStart w:id="135" w:name="ref-secomandi2025pangenome"/>
    <w:p>
      <w:pPr>
        <w:pStyle w:val="Bibliography"/>
      </w:pPr>
      <w:r>
        <w:t xml:space="preserve">Secomandi, Simona, Guido Roberto Gallo, Riccardo Rossi, Carlos Rodrı́guez Fernandes, Erich D Jarvis, Andrea Bonisoli-Alquati, Luca Gianfranceschi, and Giulio Formenti. 2025.</w:t>
      </w:r>
      <w:r>
        <w:t xml:space="preserve"> </w:t>
      </w:r>
      <w:r>
        <w:t xml:space="preserve">“Pangenome Graphs and Their Applications in Biodiversity Genomics.”</w:t>
      </w:r>
      <w:r>
        <w:t xml:space="preserve"> </w:t>
      </w:r>
      <w:r>
        <w:rPr>
          <w:i/>
          <w:iCs/>
        </w:rPr>
        <w:t xml:space="preserve">Nature Genetics</w:t>
      </w:r>
      <w:r>
        <w:t xml:space="preserve">, 1–14.</w:t>
      </w:r>
    </w:p>
    <w:bookmarkEnd w:id="135"/>
    <w:bookmarkStart w:id="136" w:name="ref-simao2015busco"/>
    <w:p>
      <w:pPr>
        <w:pStyle w:val="Bibliography"/>
      </w:pPr>
      <w:r>
        <w:t xml:space="preserve">Simão, Felipe A, Robert M Waterhouse, Panagiotis Ioannidis, Evgenia V Kriventseva, and Evgeny M Zdobnov. 2015.</w:t>
      </w:r>
      <w:r>
        <w:t xml:space="preserve"> </w:t>
      </w:r>
      <w:r>
        <w:t xml:space="preserve">“BUSCO: Assessing Genome Assembly and Annotation Completeness with Single-Copy Orthologs.”</w:t>
      </w:r>
      <w:r>
        <w:t xml:space="preserve"> </w:t>
      </w:r>
      <w:r>
        <w:rPr>
          <w:i/>
          <w:iCs/>
        </w:rPr>
        <w:t xml:space="preserve">Bioinformatics</w:t>
      </w:r>
      <w:r>
        <w:t xml:space="preserve"> </w:t>
      </w:r>
      <w:r>
        <w:t xml:space="preserve">31 (19): 3210–12.</w:t>
      </w:r>
    </w:p>
    <w:bookmarkEnd w:id="136"/>
    <w:bookmarkStart w:id="138" w:name="ref-sirén2021"/>
    <w:p>
      <w:pPr>
        <w:pStyle w:val="Bibliography"/>
      </w:pPr>
      <w:r>
        <w:t xml:space="preserve">Sirén, Jouni, Jean Monlong, Xian Chang, Adam M. Novak, Jordan M. Eizenga, Charles Markello, Jonas A. Sibbesen, et al. 2021.</w:t>
      </w:r>
      <w:r>
        <w:t xml:space="preserve"> </w:t>
      </w:r>
      <w:r>
        <w:t xml:space="preserve">“Pangenomics Enables Genotyping of Known Structural Variants in 5202 Diverse Genomes.”</w:t>
      </w:r>
      <w:r>
        <w:t xml:space="preserve"> </w:t>
      </w:r>
      <w:r>
        <w:rPr>
          <w:i/>
          <w:iCs/>
        </w:rPr>
        <w:t xml:space="preserve">Science</w:t>
      </w:r>
      <w:r>
        <w:t xml:space="preserve"> </w:t>
      </w:r>
      <w:r>
        <w:t xml:space="preserve">374 (6574).</w:t>
      </w:r>
      <w:r>
        <w:t xml:space="preserve"> </w:t>
      </w:r>
      <w:hyperlink r:id="rId137">
        <w:r>
          <w:rPr>
            <w:rStyle w:val="Hyperlink"/>
          </w:rPr>
          <w:t xml:space="preserve">https://doi.org/10.1126/science.abg8871</w:t>
        </w:r>
      </w:hyperlink>
      <w:r>
        <w:t xml:space="preserve">.</w:t>
      </w:r>
    </w:p>
    <w:bookmarkEnd w:id="138"/>
    <w:bookmarkStart w:id="139" w:name="ref-song2023plant"/>
    <w:p>
      <w:pPr>
        <w:pStyle w:val="Bibliography"/>
      </w:pPr>
      <w:r>
        <w:t xml:space="preserve">Song, Bo, Weidong Ning, Di Wei, Mengyun Jiang, Kun Zhu, Xingwei Wang, David Edwards, Damaris A Odeny, and Shifeng Cheng. 2023.</w:t>
      </w:r>
      <w:r>
        <w:t xml:space="preserve"> </w:t>
      </w:r>
      <w:r>
        <w:t xml:space="preserve">“Plant Genome Resequencing and Population Genomics: Current Status and Future Prospects.”</w:t>
      </w:r>
      <w:r>
        <w:t xml:space="preserve"> </w:t>
      </w:r>
      <w:r>
        <w:rPr>
          <w:i/>
          <w:iCs/>
        </w:rPr>
        <w:t xml:space="preserve">Molecular Plant</w:t>
      </w:r>
      <w:r>
        <w:t xml:space="preserve"> </w:t>
      </w:r>
      <w:r>
        <w:t xml:space="preserve">16 (8): 1252–68.</w:t>
      </w:r>
    </w:p>
    <w:bookmarkEnd w:id="139"/>
    <w:bookmarkStart w:id="140" w:name="ref-songsomboon2021genomic"/>
    <w:p>
      <w:pPr>
        <w:pStyle w:val="Bibliography"/>
      </w:pPr>
      <w:r>
        <w:t xml:space="preserve">Songsomboon, Kittikun, Zachary Brenton, James Heuser, Stephen Kresovich, Nadia Shakoor, Todd Mockler, and Elizabeth A Cooper. 2021.</w:t>
      </w:r>
      <w:r>
        <w:t xml:space="preserve"> </w:t>
      </w:r>
      <w:r>
        <w:t xml:space="preserve">“Genomic Patterns of Structural Variation Among Diverse Genotypes of Sorghum Bicolor and a Potential Role for Deletions in Local Adaptation.”</w:t>
      </w:r>
      <w:r>
        <w:t xml:space="preserve"> </w:t>
      </w:r>
      <w:r>
        <w:rPr>
          <w:i/>
          <w:iCs/>
        </w:rPr>
        <w:t xml:space="preserve">G3</w:t>
      </w:r>
      <w:r>
        <w:t xml:space="preserve"> </w:t>
      </w:r>
      <w:r>
        <w:t xml:space="preserve">11 (7): jkab154.</w:t>
      </w:r>
    </w:p>
    <w:bookmarkEnd w:id="140"/>
    <w:bookmarkStart w:id="141" w:name="ref-suarez2016"/>
    <w:p>
      <w:pPr>
        <w:pStyle w:val="Bibliography"/>
      </w:pPr>
      <w:r>
        <w:t xml:space="preserve">Suarez-Gonzalez, Adriana, Charles A Hefer, Camille Christe, Oliver Corea, Christian Lexer, Quentin CB Cronk, and Carl J Douglas. 2016.</w:t>
      </w:r>
      <w:r>
        <w:t xml:space="preserve"> </w:t>
      </w:r>
      <w:r>
        <w:t xml:space="preserve">“Genomic and Functional Approaches Reveal a Case of Adaptive Introgression from Populus Balsamifera (Balsam Poplar) in p.</w:t>
      </w:r>
      <w:r>
        <w:t xml:space="preserve"> </w:t>
      </w:r>
      <w:r>
        <w:t xml:space="preserve">á</w:t>
      </w:r>
      <w:r>
        <w:t xml:space="preserve">trichocarpa (Black Cottonwood).”</w:t>
      </w:r>
      <w:r>
        <w:t xml:space="preserve"> </w:t>
      </w:r>
      <w:r>
        <w:rPr>
          <w:i/>
          <w:iCs/>
        </w:rPr>
        <w:t xml:space="preserve">Molecular Ecology</w:t>
      </w:r>
      <w:r>
        <w:t xml:space="preserve"> </w:t>
      </w:r>
      <w:r>
        <w:t xml:space="preserve">25 (11): 2427–42.</w:t>
      </w:r>
    </w:p>
    <w:bookmarkEnd w:id="141"/>
    <w:bookmarkStart w:id="142" w:name="ref-suarez2018a"/>
    <w:p>
      <w:pPr>
        <w:pStyle w:val="Bibliography"/>
      </w:pPr>
      <w:r>
        <w:t xml:space="preserve">Suarez-Gonzalez, Adriana, Charles A Hefer, Christian Lexer, Carl J Douglas, and Quentin CB Cronk. 2018.</w:t>
      </w:r>
      <w:r>
        <w:t xml:space="preserve"> </w:t>
      </w:r>
      <w:r>
        <w:t xml:space="preserve">“Introgression from Populus Balsamifera Underlies Adaptively Significant Variation and Range Boundaries in p. Trichocarpa.”</w:t>
      </w:r>
      <w:r>
        <w:t xml:space="preserve"> </w:t>
      </w:r>
      <w:r>
        <w:rPr>
          <w:i/>
          <w:iCs/>
        </w:rPr>
        <w:t xml:space="preserve">New Phytologist</w:t>
      </w:r>
      <w:r>
        <w:t xml:space="preserve"> </w:t>
      </w:r>
      <w:r>
        <w:t xml:space="preserve">217 (1): 416–27.</w:t>
      </w:r>
    </w:p>
    <w:bookmarkEnd w:id="142"/>
    <w:bookmarkStart w:id="143" w:name="ref-suarez2018adaptive"/>
    <w:p>
      <w:pPr>
        <w:pStyle w:val="Bibliography"/>
      </w:pPr>
      <w:r>
        <w:t xml:space="preserve">Suarez-Gonzalez, Adriana, Christian Lexer, and Quentin CB Cronk. 2018.</w:t>
      </w:r>
      <w:r>
        <w:t xml:space="preserve"> </w:t>
      </w:r>
      <w:r>
        <w:t xml:space="preserve">“Adaptive Introgression: A Plant Perspective.”</w:t>
      </w:r>
      <w:r>
        <w:t xml:space="preserve"> </w:t>
      </w:r>
      <w:r>
        <w:rPr>
          <w:i/>
          <w:iCs/>
        </w:rPr>
        <w:t xml:space="preserve">Biology Letters</w:t>
      </w:r>
      <w:r>
        <w:t xml:space="preserve"> </w:t>
      </w:r>
      <w:r>
        <w:t xml:space="preserve">14 (3): 20170688.</w:t>
      </w:r>
    </w:p>
    <w:bookmarkEnd w:id="143"/>
    <w:bookmarkStart w:id="144" w:name="ref-sun2020phased"/>
    <w:p>
      <w:pPr>
        <w:pStyle w:val="Bibliography"/>
      </w:pPr>
      <w:r>
        <w:t xml:space="preserve">Sun, Xuepeng, Chen Jiao, Heidi Schwaninger, C Thomas Chao, Yumin Ma, Naibin Duan, Awais Khan, et al. 2020.</w:t>
      </w:r>
      <w:r>
        <w:t xml:space="preserve"> </w:t>
      </w:r>
      <w:r>
        <w:t xml:space="preserve">“Phased Diploid Genome Assemblies and Pan-Genomes Provide Insights into the Genetic History of Apple Domestication.”</w:t>
      </w:r>
      <w:r>
        <w:t xml:space="preserve"> </w:t>
      </w:r>
      <w:r>
        <w:rPr>
          <w:i/>
          <w:iCs/>
        </w:rPr>
        <w:t xml:space="preserve">Nature Genetics</w:t>
      </w:r>
      <w:r>
        <w:t xml:space="preserve"> </w:t>
      </w:r>
      <w:r>
        <w:t xml:space="preserve">52 (12): 1423–32.</w:t>
      </w:r>
    </w:p>
    <w:bookmarkEnd w:id="144"/>
    <w:bookmarkStart w:id="145" w:name="ref-sundell2015plant"/>
    <w:p>
      <w:pPr>
        <w:pStyle w:val="Bibliography"/>
      </w:pPr>
      <w:r>
        <w:t xml:space="preserve">Sundell, David, Chanaka Mannapperuma, Sergiu Netotea, Nicolas Delhomme, Yao-Cheng Lin, Andreas Sjodin, Yves Van de Peer, Stefan Jansson, Torgeir R Hvidsten, and Nathaniel R Street. 2015.</w:t>
      </w:r>
      <w:r>
        <w:t xml:space="preserve"> </w:t>
      </w:r>
      <w:r>
        <w:t xml:space="preserve">“The Plant Genome Integrative Explorer Resource: PlantGenIE. Org.”</w:t>
      </w:r>
    </w:p>
    <w:bookmarkEnd w:id="145"/>
    <w:bookmarkStart w:id="146" w:name="ref-thompson2010repeated"/>
    <w:p>
      <w:pPr>
        <w:pStyle w:val="Bibliography"/>
      </w:pPr>
      <w:r>
        <w:t xml:space="preserve">Thompson, Stacey Lee, Manuel Lamothe, Patrick G Meirmans, Pierre Perinet, and Nathalie Isabel. 2010.</w:t>
      </w:r>
      <w:r>
        <w:t xml:space="preserve"> </w:t>
      </w:r>
      <w:r>
        <w:t xml:space="preserve">“Repeated Unidirectional Introgression Towards Populus Balsamifera in Contact Zones of Exotic and Native Poplars.”</w:t>
      </w:r>
      <w:r>
        <w:t xml:space="preserve"> </w:t>
      </w:r>
      <w:r>
        <w:rPr>
          <w:i/>
          <w:iCs/>
        </w:rPr>
        <w:t xml:space="preserve">Molecular Ecology</w:t>
      </w:r>
      <w:r>
        <w:t xml:space="preserve"> </w:t>
      </w:r>
      <w:r>
        <w:t xml:space="preserve">19 (1): 132–45.</w:t>
      </w:r>
    </w:p>
    <w:bookmarkEnd w:id="146"/>
    <w:bookmarkStart w:id="147" w:name="ref-xia2023structural"/>
    <w:p>
      <w:pPr>
        <w:pStyle w:val="Bibliography"/>
      </w:pPr>
      <w:r>
        <w:t xml:space="preserve">Xia, Xiaoting, Fengwei Zhang, Shuang Li, Xiaoyu Luo, Lixin Peng, Zheng Dong, Hubert Pausch, et al. 2023.</w:t>
      </w:r>
      <w:r>
        <w:t xml:space="preserve"> </w:t>
      </w:r>
      <w:r>
        <w:t xml:space="preserve">“Structural Variation and Introgression from Wild Populations in East Asian Cattle Genomes Confer Adaptation to Local Environment.”</w:t>
      </w:r>
      <w:r>
        <w:t xml:space="preserve"> </w:t>
      </w:r>
      <w:r>
        <w:rPr>
          <w:i/>
          <w:iCs/>
        </w:rPr>
        <w:t xml:space="preserve">Genome Biology</w:t>
      </w:r>
      <w:r>
        <w:t xml:space="preserve"> </w:t>
      </w:r>
      <w:r>
        <w:t xml:space="preserve">24 (1): 211.</w:t>
      </w:r>
    </w:p>
    <w:bookmarkEnd w:id="147"/>
    <w:bookmarkStart w:id="148" w:name="ref-zanini2022pangenomics"/>
    <w:p>
      <w:pPr>
        <w:pStyle w:val="Bibliography"/>
      </w:pPr>
      <w:r>
        <w:t xml:space="preserve">Zanini, Silvia F, Philipp E Bayer, Rachel Wells, Rod J Snowdon, Jacqueline Batley, Rajeev K Varshney, Henry T Nguyen, David Edwards, and Agnieszka A Golicz. 2022.</w:t>
      </w:r>
      <w:r>
        <w:t xml:space="preserve"> </w:t>
      </w:r>
      <w:r>
        <w:t xml:space="preserve">“Pangenomics in Crop Improvement—from Coding Structural Variations to Finding Regulatory Variants with Pangenome Graphs.”</w:t>
      </w:r>
      <w:r>
        <w:t xml:space="preserve"> </w:t>
      </w:r>
      <w:r>
        <w:rPr>
          <w:i/>
          <w:iCs/>
        </w:rPr>
        <w:t xml:space="preserve">The Plant Genome</w:t>
      </w:r>
      <w:r>
        <w:t xml:space="preserve"> </w:t>
      </w:r>
      <w:r>
        <w:t xml:space="preserve">15 (1): e20177.</w:t>
      </w:r>
    </w:p>
    <w:bookmarkEnd w:id="148"/>
    <w:bookmarkStart w:id="149" w:name="ref-zhang2021important"/>
    <w:p>
      <w:pPr>
        <w:pStyle w:val="Bibliography"/>
      </w:pPr>
      <w:r>
        <w:t xml:space="preserve">Zhang, Linyi, Radka Reifová, Zuzana Halenková, and Zachariah Gompert. 2021.</w:t>
      </w:r>
      <w:r>
        <w:t xml:space="preserve"> </w:t>
      </w:r>
      <w:r>
        <w:t xml:space="preserve">“How Important Are Structural Variants for Speciation?”</w:t>
      </w:r>
      <w:r>
        <w:t xml:space="preserve"> </w:t>
      </w:r>
      <w:r>
        <w:rPr>
          <w:i/>
          <w:iCs/>
        </w:rPr>
        <w:t xml:space="preserve">Genes</w:t>
      </w:r>
      <w:r>
        <w:t xml:space="preserve"> </w:t>
      </w:r>
      <w:r>
        <w:t xml:space="preserve">12 (7): 1084.</w:t>
      </w:r>
    </w:p>
    <w:bookmarkEnd w:id="149"/>
    <w:bookmarkStart w:id="150" w:name="ref-zhang2021pan"/>
    <w:p>
      <w:pPr>
        <w:pStyle w:val="Bibliography"/>
      </w:pPr>
      <w:r>
        <w:t xml:space="preserve">Zhang, Xiaohui, Tongjin Liu, Jinglei Wang, Peng Wang, Yang Qiu, Wei Zhao, Shuai Pang, et al. 2021.</w:t>
      </w:r>
      <w:r>
        <w:t xml:space="preserve"> </w:t>
      </w:r>
      <w:r>
        <w:t xml:space="preserve">“Pan-Genome of Raphanus Highlights Genetic Variation and Introgression Among Domesticated, Wild, and Weedy Radishes.”</w:t>
      </w:r>
      <w:r>
        <w:t xml:space="preserve"> </w:t>
      </w:r>
      <w:r>
        <w:rPr>
          <w:i/>
          <w:iCs/>
        </w:rPr>
        <w:t xml:space="preserve">Molecular Plant</w:t>
      </w:r>
      <w:r>
        <w:t xml:space="preserve"> </w:t>
      </w:r>
      <w:r>
        <w:t xml:space="preserve">14 (12): 2032–55.</w:t>
      </w:r>
    </w:p>
    <w:bookmarkEnd w:id="150"/>
    <w:bookmarkEnd w:id="151"/>
    <w:bookmarkEnd w:id="152"/>
    <w:bookmarkEnd w:id="153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8" Target="media/rId58.jpg" /><Relationship Type="http://schemas.openxmlformats.org/officeDocument/2006/relationships/image" Id="rId36" Target="media/rId36.jpg" /><Relationship Type="http://schemas.openxmlformats.org/officeDocument/2006/relationships/image" Id="rId41" Target="media/rId41.jpg" /><Relationship Type="http://schemas.openxmlformats.org/officeDocument/2006/relationships/image" Id="rId66" Target="media/rId66.jpg" /><Relationship Type="http://schemas.openxmlformats.org/officeDocument/2006/relationships/image" Id="rId52" Target="media/rId52.jpg" /><Relationship Type="http://schemas.openxmlformats.org/officeDocument/2006/relationships/image" Id="rId47" Target="media/rId47.jpg" /><Relationship Type="http://schemas.openxmlformats.org/officeDocument/2006/relationships/image" Id="rId62" Target="media/rId62.jpg" /><Relationship Type="http://schemas.openxmlformats.org/officeDocument/2006/relationships/image" Id="rId76" Target="media/rId76.jpg" /><Relationship Type="http://schemas.openxmlformats.org/officeDocument/2006/relationships/image" Id="rId72" Target="media/rId72.jpg" /><Relationship Type="http://schemas.openxmlformats.org/officeDocument/2006/relationships/image" Id="rId80" Target="media/rId80.jpg" /><Relationship Type="http://schemas.openxmlformats.org/officeDocument/2006/relationships/image" Id="rId31" Target="media/rId31.jpg" /><Relationship Type="http://schemas.openxmlformats.org/officeDocument/2006/relationships/hyperlink" Id="rId99" Target="https://doi.org/10.1038/nbt.4227" TargetMode="External" /><Relationship Type="http://schemas.openxmlformats.org/officeDocument/2006/relationships/hyperlink" Id="rId106" Target="https://doi.org/10.1038/s41587-023-01793-w" TargetMode="External" /><Relationship Type="http://schemas.openxmlformats.org/officeDocument/2006/relationships/hyperlink" Id="rId120" Target="https://doi.org/10.1038/s41596-022-00738-y" TargetMode="External" /><Relationship Type="http://schemas.openxmlformats.org/officeDocument/2006/relationships/hyperlink" Id="rId124" Target="https://doi.org/10.1093/bioinformatics/btae720" TargetMode="External" /><Relationship Type="http://schemas.openxmlformats.org/officeDocument/2006/relationships/hyperlink" Id="rId90" Target="https://doi.org/10.1093/gigascience/giab008" TargetMode="External" /><Relationship Type="http://schemas.openxmlformats.org/officeDocument/2006/relationships/hyperlink" Id="rId118" Target="https://doi.org/10.1093/molbev/msaf088" TargetMode="External" /><Relationship Type="http://schemas.openxmlformats.org/officeDocument/2006/relationships/hyperlink" Id="rId137" Target="https://doi.org/10.1126/science.abg8871" TargetMode="External" /><Relationship Type="http://schemas.openxmlformats.org/officeDocument/2006/relationships/hyperlink" Id="rId131" Target="https://doi.org/10.1186/s13059-020-02157-2" TargetMode="External" /><Relationship Type="http://schemas.openxmlformats.org/officeDocument/2006/relationships/hyperlink" Id="rId128" Target="https://www.R-project.org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99" Target="https://doi.org/10.1038/nbt.4227" TargetMode="External" /><Relationship Type="http://schemas.openxmlformats.org/officeDocument/2006/relationships/hyperlink" Id="rId106" Target="https://doi.org/10.1038/s41587-023-01793-w" TargetMode="External" /><Relationship Type="http://schemas.openxmlformats.org/officeDocument/2006/relationships/hyperlink" Id="rId120" Target="https://doi.org/10.1038/s41596-022-00738-y" TargetMode="External" /><Relationship Type="http://schemas.openxmlformats.org/officeDocument/2006/relationships/hyperlink" Id="rId124" Target="https://doi.org/10.1093/bioinformatics/btae720" TargetMode="External" /><Relationship Type="http://schemas.openxmlformats.org/officeDocument/2006/relationships/hyperlink" Id="rId90" Target="https://doi.org/10.1093/gigascience/giab008" TargetMode="External" /><Relationship Type="http://schemas.openxmlformats.org/officeDocument/2006/relationships/hyperlink" Id="rId118" Target="https://doi.org/10.1093/molbev/msaf088" TargetMode="External" /><Relationship Type="http://schemas.openxmlformats.org/officeDocument/2006/relationships/hyperlink" Id="rId137" Target="https://doi.org/10.1126/science.abg8871" TargetMode="External" /><Relationship Type="http://schemas.openxmlformats.org/officeDocument/2006/relationships/hyperlink" Id="rId131" Target="https://doi.org/10.1186/s13059-020-02157-2" TargetMode="External" /><Relationship Type="http://schemas.openxmlformats.org/officeDocument/2006/relationships/hyperlink" Id="rId128" Target="https://www.R-project.org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Adaptive Introgression Shapes the Pan-genome of Populus Hybrid Zones</dc:title>
  <dc:creator>Baxter Worthing</dc:creator>
  <cp:keywords/>
  <dcterms:created xsi:type="dcterms:W3CDTF">2025-08-05T16:25:46Z</dcterms:created>
  <dcterms:modified xsi:type="dcterms:W3CDTF">2025-08-05T16:25:46Z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bstract">
    <vt:lpwstr>Poplar trees…</vt:lpwstr>
  </property>
  <property fmtid="{D5CDD505-2E9C-101B-9397-08002B2CF9AE}" pid="3" name="affiliations">
    <vt:lpwstr/>
  </property>
  <property fmtid="{D5CDD505-2E9C-101B-9397-08002B2CF9AE}" pid="4" name="authors">
    <vt:lpwstr/>
  </property>
  <property fmtid="{D5CDD505-2E9C-101B-9397-08002B2CF9AE}" pid="5" name="biblio-config">
    <vt:lpwstr>True</vt:lpwstr>
  </property>
  <property fmtid="{D5CDD505-2E9C-101B-9397-08002B2CF9AE}" pid="6" name="bibliography">
    <vt:lpwstr>references.bib</vt:lpwstr>
  </property>
  <property fmtid="{D5CDD505-2E9C-101B-9397-08002B2CF9AE}" pid="7" name="by-affiliation">
    <vt:lpwstr/>
  </property>
  <property fmtid="{D5CDD505-2E9C-101B-9397-08002B2CF9AE}" pid="8" name="by-author">
    <vt:lpwstr/>
  </property>
  <property fmtid="{D5CDD505-2E9C-101B-9397-08002B2CF9AE}" pid="9" name="clear-hidden-classes">
    <vt:lpwstr>none</vt:lpwstr>
  </property>
  <property fmtid="{D5CDD505-2E9C-101B-9397-08002B2CF9AE}" pid="10" name="editor">
    <vt:lpwstr/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nclude-after">
    <vt:lpwstr/>
  </property>
  <property fmtid="{D5CDD505-2E9C-101B-9397-08002B2CF9AE}" pid="14" name="include-before">
    <vt:lpwstr/>
  </property>
  <property fmtid="{D5CDD505-2E9C-101B-9397-08002B2CF9AE}" pid="15" name="labels">
    <vt:lpwstr/>
  </property>
  <property fmtid="{D5CDD505-2E9C-101B-9397-08002B2CF9AE}" pid="16" name="lightbox">
    <vt:lpwstr>auto</vt:lpwstr>
  </property>
  <property fmtid="{D5CDD505-2E9C-101B-9397-08002B2CF9AE}" pid="17" name="manuscript">
    <vt:lpwstr/>
  </property>
  <property fmtid="{D5CDD505-2E9C-101B-9397-08002B2CF9AE}" pid="18" name="notebook-preview-options">
    <vt:lpwstr/>
  </property>
  <property fmtid="{D5CDD505-2E9C-101B-9397-08002B2CF9AE}" pid="19" name="quarto-internal">
    <vt:lpwstr/>
  </property>
  <property fmtid="{D5CDD505-2E9C-101B-9397-08002B2CF9AE}" pid="20" name="remove-hidden">
    <vt:lpwstr>all</vt:lpwstr>
  </property>
  <property fmtid="{D5CDD505-2E9C-101B-9397-08002B2CF9AE}" pid="21" name="template-partials">
    <vt:lpwstr/>
  </property>
  <property fmtid="{D5CDD505-2E9C-101B-9397-08002B2CF9AE}" pid="22" name="theme">
    <vt:lpwstr>cosmo</vt:lpwstr>
  </property>
  <property fmtid="{D5CDD505-2E9C-101B-9397-08002B2CF9AE}" pid="23" name="title-block-style">
    <vt:lpwstr>manuscript</vt:lpwstr>
  </property>
  <property fmtid="{D5CDD505-2E9C-101B-9397-08002B2CF9AE}" pid="24" name="toc-title">
    <vt:lpwstr>Table of contents</vt:lpwstr>
  </property>
  <property fmtid="{D5CDD505-2E9C-101B-9397-08002B2CF9AE}" pid="25" name="unroll-markdown-cells">
    <vt:lpwstr>True</vt:lpwstr>
  </property>
</Properties>
</file>